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Virgin Islands E</w:t>
      </w:r>
      <w:r w:rsidR="007E2690">
        <w:rPr>
          <w:rFonts w:asciiTheme="minorHAnsi" w:hAnsiTheme="minorHAnsi" w:cstheme="minorHAnsi"/>
          <w:b/>
          <w:sz w:val="28"/>
          <w:szCs w:val="28"/>
        </w:rPr>
        <w:t>nterprise Zone Commission</w:t>
      </w:r>
    </w:p>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Decision Meeting of </w:t>
      </w:r>
      <w:r w:rsidR="00681062">
        <w:rPr>
          <w:rFonts w:asciiTheme="minorHAnsi" w:hAnsiTheme="minorHAnsi" w:cstheme="minorHAnsi"/>
          <w:b/>
          <w:sz w:val="28"/>
          <w:szCs w:val="28"/>
        </w:rPr>
        <w:t>Thursday</w:t>
      </w:r>
      <w:r w:rsidR="007E2690">
        <w:rPr>
          <w:rFonts w:asciiTheme="minorHAnsi" w:hAnsiTheme="minorHAnsi" w:cstheme="minorHAnsi"/>
          <w:b/>
          <w:sz w:val="28"/>
          <w:szCs w:val="28"/>
        </w:rPr>
        <w:t xml:space="preserve">, </w:t>
      </w:r>
      <w:r w:rsidR="00657741">
        <w:rPr>
          <w:rFonts w:asciiTheme="minorHAnsi" w:hAnsiTheme="minorHAnsi" w:cstheme="minorHAnsi"/>
          <w:b/>
          <w:sz w:val="28"/>
          <w:szCs w:val="28"/>
        </w:rPr>
        <w:t>June 24</w:t>
      </w:r>
      <w:r w:rsidR="00A2350E">
        <w:rPr>
          <w:rFonts w:asciiTheme="minorHAnsi" w:hAnsiTheme="minorHAnsi" w:cstheme="minorHAnsi"/>
          <w:b/>
          <w:sz w:val="28"/>
          <w:szCs w:val="28"/>
        </w:rPr>
        <w:t>, 2021</w:t>
      </w:r>
    </w:p>
    <w:p w:rsidR="005B1A21" w:rsidRPr="009738F0" w:rsidRDefault="003028F5"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Summary</w:t>
      </w:r>
    </w:p>
    <w:p w:rsidR="005B1A21" w:rsidRPr="005B1A21" w:rsidRDefault="005B1A21" w:rsidP="005B1A21">
      <w:pPr>
        <w:tabs>
          <w:tab w:val="center" w:pos="4320"/>
          <w:tab w:val="right" w:pos="8640"/>
        </w:tabs>
        <w:jc w:val="both"/>
      </w:pPr>
    </w:p>
    <w:p w:rsidR="009738F0" w:rsidRDefault="009738F0" w:rsidP="005B1A21">
      <w:pPr>
        <w:tabs>
          <w:tab w:val="center" w:pos="4320"/>
          <w:tab w:val="right" w:pos="8640"/>
        </w:tabs>
        <w:jc w:val="both"/>
        <w:rPr>
          <w:rFonts w:asciiTheme="minorHAnsi" w:hAnsiTheme="minorHAnsi" w:cstheme="minorHAnsi"/>
        </w:rPr>
      </w:pPr>
    </w:p>
    <w:p w:rsidR="005B1A21" w:rsidRPr="006323D9" w:rsidRDefault="002C7C2F" w:rsidP="00CF194B">
      <w:pPr>
        <w:jc w:val="both"/>
        <w:rPr>
          <w:rFonts w:asciiTheme="minorHAnsi" w:hAnsiTheme="minorHAnsi" w:cstheme="minorHAnsi"/>
        </w:rPr>
      </w:pPr>
      <w:r>
        <w:rPr>
          <w:rFonts w:asciiTheme="minorHAnsi" w:hAnsiTheme="minorHAnsi" w:cstheme="minorHAnsi"/>
        </w:rPr>
        <w:t xml:space="preserve">During the </w:t>
      </w:r>
      <w:r w:rsidR="0024676F">
        <w:rPr>
          <w:rFonts w:asciiTheme="minorHAnsi" w:hAnsiTheme="minorHAnsi" w:cstheme="minorHAnsi"/>
        </w:rPr>
        <w:t xml:space="preserve">Enterprise Zone Commission (“EZC”) Governing Board </w:t>
      </w:r>
      <w:r>
        <w:rPr>
          <w:rFonts w:asciiTheme="minorHAnsi" w:hAnsiTheme="minorHAnsi" w:cstheme="minorHAnsi"/>
        </w:rPr>
        <w:t xml:space="preserve">Meeting on </w:t>
      </w:r>
      <w:r w:rsidR="00E84C83">
        <w:rPr>
          <w:rFonts w:asciiTheme="minorHAnsi" w:hAnsiTheme="minorHAnsi" w:cstheme="minorHAnsi"/>
        </w:rPr>
        <w:t xml:space="preserve">Thursday, </w:t>
      </w:r>
      <w:r w:rsidR="00657741">
        <w:rPr>
          <w:rFonts w:asciiTheme="minorHAnsi" w:hAnsiTheme="minorHAnsi" w:cstheme="minorHAnsi"/>
        </w:rPr>
        <w:t>June 24</w:t>
      </w:r>
      <w:r w:rsidR="00A2350E">
        <w:rPr>
          <w:rFonts w:asciiTheme="minorHAnsi" w:hAnsiTheme="minorHAnsi" w:cstheme="minorHAnsi"/>
        </w:rPr>
        <w:t>, 2021</w:t>
      </w:r>
      <w:r>
        <w:rPr>
          <w:rFonts w:asciiTheme="minorHAnsi" w:hAnsiTheme="minorHAnsi" w:cstheme="minorHAnsi"/>
        </w:rPr>
        <w:t>, the</w:t>
      </w:r>
      <w:r w:rsidR="005B1A21" w:rsidRPr="006323D9">
        <w:rPr>
          <w:rFonts w:asciiTheme="minorHAnsi" w:hAnsiTheme="minorHAnsi" w:cstheme="minorHAnsi"/>
        </w:rPr>
        <w:t xml:space="preserve"> </w:t>
      </w:r>
      <w:r w:rsidR="0024676F">
        <w:rPr>
          <w:rFonts w:asciiTheme="minorHAnsi" w:hAnsiTheme="minorHAnsi" w:cstheme="minorHAnsi"/>
        </w:rPr>
        <w:t xml:space="preserve">EZC </w:t>
      </w:r>
      <w:r w:rsidR="00896B36">
        <w:rPr>
          <w:rFonts w:asciiTheme="minorHAnsi" w:hAnsiTheme="minorHAnsi" w:cstheme="minorHAnsi"/>
        </w:rPr>
        <w:t xml:space="preserve">Governing </w:t>
      </w:r>
      <w:r w:rsidR="005B1A21" w:rsidRPr="006323D9">
        <w:rPr>
          <w:rFonts w:asciiTheme="minorHAnsi" w:hAnsiTheme="minorHAnsi" w:cstheme="minorHAnsi"/>
        </w:rPr>
        <w:t xml:space="preserve">Board heard recommendations from staff regarding </w:t>
      </w:r>
      <w:r w:rsidR="00657741">
        <w:rPr>
          <w:rFonts w:asciiTheme="minorHAnsi" w:hAnsiTheme="minorHAnsi" w:cstheme="minorHAnsi"/>
        </w:rPr>
        <w:t>one (1</w:t>
      </w:r>
      <w:r w:rsidR="003028F5">
        <w:rPr>
          <w:rFonts w:asciiTheme="minorHAnsi" w:hAnsiTheme="minorHAnsi" w:cstheme="minorHAnsi"/>
        </w:rPr>
        <w:t>)</w:t>
      </w:r>
      <w:r w:rsidR="00B87CFD">
        <w:rPr>
          <w:rFonts w:asciiTheme="minorHAnsi" w:hAnsiTheme="minorHAnsi" w:cstheme="minorHAnsi"/>
        </w:rPr>
        <w:t xml:space="preserve"> </w:t>
      </w:r>
      <w:r w:rsidR="003028F5">
        <w:rPr>
          <w:rFonts w:asciiTheme="minorHAnsi" w:hAnsiTheme="minorHAnsi" w:cstheme="minorHAnsi"/>
        </w:rPr>
        <w:t>application</w:t>
      </w:r>
      <w:r w:rsidR="0034492E">
        <w:rPr>
          <w:rFonts w:asciiTheme="minorHAnsi" w:hAnsiTheme="minorHAnsi" w:cstheme="minorHAnsi"/>
        </w:rPr>
        <w:t xml:space="preserve"> matter</w:t>
      </w:r>
      <w:r w:rsidR="00657741">
        <w:rPr>
          <w:rFonts w:asciiTheme="minorHAnsi" w:hAnsiTheme="minorHAnsi" w:cstheme="minorHAnsi"/>
        </w:rPr>
        <w:t>,</w:t>
      </w:r>
      <w:r w:rsidR="00A2350E">
        <w:rPr>
          <w:rFonts w:asciiTheme="minorHAnsi" w:hAnsiTheme="minorHAnsi" w:cstheme="minorHAnsi"/>
        </w:rPr>
        <w:t xml:space="preserve"> two (2) compliance matters</w:t>
      </w:r>
      <w:r w:rsidR="00A36E02">
        <w:rPr>
          <w:rFonts w:asciiTheme="minorHAnsi" w:hAnsiTheme="minorHAnsi" w:cstheme="minorHAnsi"/>
        </w:rPr>
        <w:t>,</w:t>
      </w:r>
      <w:r w:rsidR="00A2350E">
        <w:rPr>
          <w:rFonts w:asciiTheme="minorHAnsi" w:hAnsiTheme="minorHAnsi" w:cstheme="minorHAnsi"/>
        </w:rPr>
        <w:t xml:space="preserve"> </w:t>
      </w:r>
      <w:r w:rsidR="00657741">
        <w:rPr>
          <w:rFonts w:asciiTheme="minorHAnsi" w:hAnsiTheme="minorHAnsi" w:cstheme="minorHAnsi"/>
        </w:rPr>
        <w:t xml:space="preserve">and two (2) </w:t>
      </w:r>
      <w:r w:rsidR="00223DB9">
        <w:rPr>
          <w:rFonts w:asciiTheme="minorHAnsi" w:hAnsiTheme="minorHAnsi" w:cstheme="minorHAnsi"/>
        </w:rPr>
        <w:t>administrative</w:t>
      </w:r>
      <w:r w:rsidR="00657741">
        <w:rPr>
          <w:rFonts w:asciiTheme="minorHAnsi" w:hAnsiTheme="minorHAnsi" w:cstheme="minorHAnsi"/>
        </w:rPr>
        <w:t xml:space="preserve"> matters </w:t>
      </w:r>
      <w:r w:rsidR="00400334">
        <w:rPr>
          <w:rFonts w:asciiTheme="minorHAnsi" w:hAnsiTheme="minorHAnsi" w:cstheme="minorHAnsi"/>
        </w:rPr>
        <w:t>in regular session</w:t>
      </w:r>
      <w:r w:rsidR="00A871AF">
        <w:rPr>
          <w:rFonts w:asciiTheme="minorHAnsi" w:hAnsiTheme="minorHAnsi" w:cstheme="minorHAnsi"/>
        </w:rPr>
        <w:t>,</w:t>
      </w:r>
      <w:r w:rsidR="003028F5">
        <w:rPr>
          <w:rFonts w:asciiTheme="minorHAnsi" w:hAnsiTheme="minorHAnsi" w:cstheme="minorHAnsi"/>
        </w:rPr>
        <w:t xml:space="preserve"> </w:t>
      </w:r>
      <w:r w:rsidR="005B1A21" w:rsidRPr="006323D9">
        <w:rPr>
          <w:rFonts w:asciiTheme="minorHAnsi" w:hAnsiTheme="minorHAnsi" w:cstheme="minorHAnsi"/>
        </w:rPr>
        <w:t>and voted as follows:</w:t>
      </w:r>
    </w:p>
    <w:p w:rsidR="000E2244" w:rsidRDefault="000E2244" w:rsidP="005B1A21">
      <w:pPr>
        <w:tabs>
          <w:tab w:val="center" w:pos="4320"/>
          <w:tab w:val="right" w:pos="8640"/>
        </w:tabs>
        <w:jc w:val="both"/>
        <w:rPr>
          <w:rFonts w:asciiTheme="minorHAnsi" w:hAnsiTheme="minorHAnsi" w:cstheme="minorHAnsi"/>
        </w:rPr>
      </w:pPr>
    </w:p>
    <w:p w:rsidR="00A871AF" w:rsidRPr="00A871AF" w:rsidRDefault="00A871AF" w:rsidP="00A871AF">
      <w:pPr>
        <w:tabs>
          <w:tab w:val="center" w:pos="4320"/>
          <w:tab w:val="right" w:pos="8640"/>
        </w:tabs>
        <w:contextualSpacing/>
        <w:jc w:val="both"/>
        <w:rPr>
          <w:rFonts w:asciiTheme="minorHAnsi" w:hAnsiTheme="minorHAnsi" w:cstheme="minorHAnsi"/>
          <w:b/>
          <w:u w:val="single"/>
        </w:rPr>
      </w:pPr>
      <w:r w:rsidRPr="00A871AF">
        <w:rPr>
          <w:rFonts w:asciiTheme="minorHAnsi" w:hAnsiTheme="minorHAnsi" w:cstheme="minorHAnsi"/>
          <w:b/>
          <w:u w:val="single"/>
        </w:rPr>
        <w:t>Regular Session:</w:t>
      </w:r>
    </w:p>
    <w:p w:rsidR="00A871AF" w:rsidRPr="00A871AF" w:rsidRDefault="00A871AF" w:rsidP="00A871AF">
      <w:pPr>
        <w:tabs>
          <w:tab w:val="center" w:pos="4320"/>
          <w:tab w:val="right" w:pos="8640"/>
        </w:tabs>
        <w:contextualSpacing/>
        <w:jc w:val="both"/>
        <w:rPr>
          <w:rFonts w:asciiTheme="minorHAnsi" w:hAnsiTheme="minorHAnsi" w:cstheme="minorHAnsi"/>
          <w:b/>
          <w:sz w:val="16"/>
          <w:szCs w:val="16"/>
          <w:u w:val="single"/>
        </w:rPr>
      </w:pPr>
    </w:p>
    <w:p w:rsidR="00A871AF" w:rsidRPr="00A2350E" w:rsidRDefault="00A871AF" w:rsidP="00255B7B">
      <w:pPr>
        <w:pStyle w:val="ListParagraph"/>
        <w:numPr>
          <w:ilvl w:val="0"/>
          <w:numId w:val="9"/>
        </w:numPr>
        <w:tabs>
          <w:tab w:val="center" w:pos="4320"/>
          <w:tab w:val="right" w:pos="8640"/>
        </w:tabs>
        <w:jc w:val="both"/>
        <w:rPr>
          <w:rFonts w:ascii="Calibri" w:eastAsia="Calibri" w:hAnsi="Calibri"/>
        </w:rPr>
      </w:pPr>
      <w:r w:rsidRPr="00A2350E">
        <w:rPr>
          <w:rFonts w:asciiTheme="minorHAnsi" w:hAnsiTheme="minorHAnsi" w:cstheme="minorHAnsi"/>
          <w:b/>
        </w:rPr>
        <w:t>Action Items:</w:t>
      </w:r>
    </w:p>
    <w:p w:rsidR="00A871AF" w:rsidRPr="00477AD6" w:rsidRDefault="00A871AF" w:rsidP="00A871AF">
      <w:pPr>
        <w:tabs>
          <w:tab w:val="center" w:pos="4320"/>
          <w:tab w:val="right" w:pos="8640"/>
        </w:tabs>
        <w:ind w:left="360"/>
        <w:contextualSpacing/>
        <w:jc w:val="both"/>
        <w:rPr>
          <w:rFonts w:ascii="Calibri" w:eastAsia="Calibri" w:hAnsi="Calibri"/>
          <w:sz w:val="12"/>
          <w:szCs w:val="12"/>
        </w:rPr>
      </w:pPr>
    </w:p>
    <w:p w:rsidR="003028F5" w:rsidRPr="00DF7B8C" w:rsidRDefault="003028F5" w:rsidP="00C11C01">
      <w:pPr>
        <w:pStyle w:val="ListParagraph"/>
        <w:numPr>
          <w:ilvl w:val="0"/>
          <w:numId w:val="2"/>
        </w:numPr>
        <w:tabs>
          <w:tab w:val="center" w:pos="4320"/>
          <w:tab w:val="right" w:pos="8640"/>
        </w:tabs>
        <w:ind w:left="851" w:hanging="284"/>
        <w:rPr>
          <w:rFonts w:asciiTheme="minorHAnsi" w:hAnsiTheme="minorHAnsi" w:cstheme="minorHAnsi"/>
          <w:b/>
          <w:sz w:val="20"/>
          <w:szCs w:val="20"/>
          <w:u w:val="single"/>
        </w:rPr>
      </w:pPr>
      <w:r w:rsidRPr="00DF7B8C">
        <w:rPr>
          <w:rFonts w:asciiTheme="minorHAnsi" w:hAnsiTheme="minorHAnsi" w:cstheme="minorHAnsi"/>
          <w:b/>
          <w:sz w:val="20"/>
          <w:szCs w:val="20"/>
          <w:u w:val="single"/>
        </w:rPr>
        <w:t>APPLICATIONS:</w:t>
      </w:r>
    </w:p>
    <w:p w:rsidR="003028F5" w:rsidRPr="0034492E" w:rsidRDefault="003028F5" w:rsidP="005B1A21">
      <w:pPr>
        <w:tabs>
          <w:tab w:val="center" w:pos="4320"/>
          <w:tab w:val="right" w:pos="8640"/>
        </w:tabs>
        <w:jc w:val="both"/>
        <w:rPr>
          <w:rFonts w:asciiTheme="minorHAnsi" w:hAnsiTheme="minorHAnsi" w:cstheme="minorHAnsi"/>
          <w:sz w:val="8"/>
          <w:szCs w:val="8"/>
        </w:rPr>
      </w:pPr>
    </w:p>
    <w:p w:rsidR="00DD5593" w:rsidRPr="00777325" w:rsidRDefault="00657741" w:rsidP="00C11C01">
      <w:pPr>
        <w:pStyle w:val="ListParagraph"/>
        <w:numPr>
          <w:ilvl w:val="0"/>
          <w:numId w:val="3"/>
        </w:numPr>
        <w:tabs>
          <w:tab w:val="center" w:pos="4320"/>
          <w:tab w:val="right" w:pos="8640"/>
        </w:tabs>
        <w:ind w:hanging="513"/>
        <w:jc w:val="both"/>
        <w:rPr>
          <w:rFonts w:asciiTheme="minorHAnsi" w:hAnsiTheme="minorHAnsi" w:cstheme="minorHAnsi"/>
          <w:b/>
        </w:rPr>
      </w:pPr>
      <w:r>
        <w:rPr>
          <w:rFonts w:asciiTheme="minorHAnsi" w:hAnsiTheme="minorHAnsi" w:cstheme="minorHAnsi"/>
          <w:b/>
        </w:rPr>
        <w:t>Lydia Rodriquez</w:t>
      </w:r>
      <w:r w:rsidR="00DC6516" w:rsidRPr="00777325">
        <w:rPr>
          <w:rFonts w:asciiTheme="minorHAnsi" w:hAnsiTheme="minorHAnsi" w:cstheme="minorHAnsi"/>
          <w:b/>
        </w:rPr>
        <w:t xml:space="preserve"> </w:t>
      </w:r>
      <w:r w:rsidR="009D18D5" w:rsidRPr="00777325">
        <w:rPr>
          <w:rFonts w:asciiTheme="minorHAnsi" w:hAnsiTheme="minorHAnsi" w:cstheme="minorHAnsi"/>
          <w:b/>
        </w:rPr>
        <w:t xml:space="preserve">– </w:t>
      </w:r>
      <w:r w:rsidR="00A04A4C">
        <w:rPr>
          <w:rFonts w:asciiTheme="minorHAnsi" w:hAnsiTheme="minorHAnsi" w:cstheme="minorHAnsi"/>
          <w:b/>
        </w:rPr>
        <w:t xml:space="preserve">EZC </w:t>
      </w:r>
      <w:r w:rsidR="009D18D5" w:rsidRPr="00777325">
        <w:rPr>
          <w:rFonts w:asciiTheme="minorHAnsi" w:hAnsiTheme="minorHAnsi" w:cstheme="minorHAnsi"/>
          <w:b/>
        </w:rPr>
        <w:t>Tax Credit</w:t>
      </w:r>
      <w:r>
        <w:rPr>
          <w:rFonts w:asciiTheme="minorHAnsi" w:hAnsiTheme="minorHAnsi" w:cstheme="minorHAnsi"/>
          <w:b/>
        </w:rPr>
        <w:t xml:space="preserve"> Program (Frederiksted Enterprise Zone)</w:t>
      </w:r>
    </w:p>
    <w:p w:rsidR="00F543D5" w:rsidRPr="00657741" w:rsidRDefault="00F543D5" w:rsidP="00DD5593">
      <w:pPr>
        <w:ind w:firstLine="360"/>
        <w:jc w:val="both"/>
        <w:rPr>
          <w:rFonts w:asciiTheme="minorHAnsi" w:hAnsiTheme="minorHAnsi" w:cstheme="minorHAnsi"/>
          <w:sz w:val="8"/>
          <w:szCs w:val="8"/>
        </w:rPr>
      </w:pPr>
    </w:p>
    <w:p w:rsidR="00657741" w:rsidRPr="00657741" w:rsidRDefault="00657741" w:rsidP="00657741">
      <w:pPr>
        <w:ind w:left="567"/>
        <w:jc w:val="both"/>
        <w:rPr>
          <w:rFonts w:asciiTheme="minorHAnsi" w:hAnsiTheme="minorHAnsi" w:cstheme="minorHAnsi"/>
          <w:i/>
          <w:sz w:val="20"/>
          <w:szCs w:val="20"/>
        </w:rPr>
      </w:pPr>
      <w:r w:rsidRPr="00657741">
        <w:rPr>
          <w:rFonts w:asciiTheme="minorHAnsi" w:hAnsiTheme="minorHAnsi" w:cstheme="minorHAnsi"/>
          <w:i/>
          <w:sz w:val="20"/>
          <w:szCs w:val="20"/>
        </w:rPr>
        <w:t xml:space="preserve">Lydia Rodriguez has applied for Enterprise Zone Tax Credit Program to a complete rehabilitation of 45 </w:t>
      </w:r>
      <w:r>
        <w:rPr>
          <w:rFonts w:asciiTheme="minorHAnsi" w:hAnsiTheme="minorHAnsi" w:cstheme="minorHAnsi"/>
          <w:i/>
          <w:sz w:val="20"/>
          <w:szCs w:val="20"/>
        </w:rPr>
        <w:t xml:space="preserve">King Street, Frederiksted, </w:t>
      </w:r>
      <w:proofErr w:type="gramStart"/>
      <w:r>
        <w:rPr>
          <w:rFonts w:asciiTheme="minorHAnsi" w:hAnsiTheme="minorHAnsi" w:cstheme="minorHAnsi"/>
          <w:i/>
          <w:sz w:val="20"/>
          <w:szCs w:val="20"/>
        </w:rPr>
        <w:t>St</w:t>
      </w:r>
      <w:proofErr w:type="gramEnd"/>
      <w:r>
        <w:rPr>
          <w:rFonts w:asciiTheme="minorHAnsi" w:hAnsiTheme="minorHAnsi" w:cstheme="minorHAnsi"/>
          <w:i/>
          <w:sz w:val="20"/>
          <w:szCs w:val="20"/>
        </w:rPr>
        <w:t>. Croix.</w:t>
      </w:r>
      <w:r w:rsidRPr="00657741">
        <w:rPr>
          <w:rFonts w:asciiTheme="minorHAnsi" w:hAnsiTheme="minorHAnsi" w:cstheme="minorHAnsi"/>
          <w:i/>
          <w:sz w:val="20"/>
          <w:szCs w:val="20"/>
        </w:rPr>
        <w:t xml:space="preserve"> The applicant’s building is located within the Frederiksted Enterprise Zone. She is the owner of the property and has committed to investment $80,000.00 and employ two (2) temporary employees. This project will complete the rehabilitation a two-story building.</w:t>
      </w:r>
    </w:p>
    <w:p w:rsidR="00657741" w:rsidRPr="00657741" w:rsidRDefault="00657741" w:rsidP="00A2350E">
      <w:pPr>
        <w:ind w:firstLine="567"/>
        <w:jc w:val="both"/>
        <w:rPr>
          <w:rFonts w:asciiTheme="minorHAnsi" w:hAnsiTheme="minorHAnsi" w:cstheme="minorHAnsi"/>
          <w:sz w:val="16"/>
          <w:szCs w:val="16"/>
        </w:rPr>
      </w:pPr>
    </w:p>
    <w:p w:rsidR="00DD5593" w:rsidRPr="00777325" w:rsidRDefault="00DD5593" w:rsidP="00A2350E">
      <w:pPr>
        <w:ind w:firstLine="567"/>
        <w:jc w:val="both"/>
        <w:rPr>
          <w:rFonts w:asciiTheme="minorHAnsi" w:hAnsiTheme="minorHAnsi" w:cstheme="minorHAnsi"/>
        </w:rPr>
      </w:pPr>
      <w:r w:rsidRPr="00777325">
        <w:rPr>
          <w:rFonts w:asciiTheme="minorHAnsi" w:hAnsiTheme="minorHAnsi" w:cstheme="minorHAnsi"/>
        </w:rPr>
        <w:t>The</w:t>
      </w:r>
      <w:r w:rsidR="00D83569">
        <w:rPr>
          <w:rFonts w:asciiTheme="minorHAnsi" w:hAnsiTheme="minorHAnsi" w:cstheme="minorHAnsi"/>
        </w:rPr>
        <w:t xml:space="preserve"> Governing </w:t>
      </w:r>
      <w:r w:rsidRPr="00777325">
        <w:rPr>
          <w:rFonts w:asciiTheme="minorHAnsi" w:hAnsiTheme="minorHAnsi" w:cstheme="minorHAnsi"/>
        </w:rPr>
        <w:t xml:space="preserve">Board voted </w:t>
      </w:r>
      <w:r w:rsidR="009502F8">
        <w:rPr>
          <w:rFonts w:asciiTheme="minorHAnsi" w:hAnsiTheme="minorHAnsi" w:cstheme="minorHAnsi"/>
        </w:rPr>
        <w:t>(4</w:t>
      </w:r>
      <w:r w:rsidRPr="00777325">
        <w:rPr>
          <w:rFonts w:asciiTheme="minorHAnsi" w:hAnsiTheme="minorHAnsi" w:cstheme="minorHAnsi"/>
        </w:rPr>
        <w:t xml:space="preserve"> – </w:t>
      </w:r>
      <w:r w:rsidR="00BB158B" w:rsidRPr="00777325">
        <w:rPr>
          <w:rFonts w:asciiTheme="minorHAnsi" w:hAnsiTheme="minorHAnsi" w:cstheme="minorHAnsi"/>
        </w:rPr>
        <w:t>0</w:t>
      </w:r>
      <w:r w:rsidRPr="00777325">
        <w:rPr>
          <w:rFonts w:asciiTheme="minorHAnsi" w:hAnsiTheme="minorHAnsi" w:cstheme="minorHAnsi"/>
        </w:rPr>
        <w:t>) to:</w:t>
      </w:r>
    </w:p>
    <w:p w:rsidR="00DD5593" w:rsidRPr="00657741" w:rsidRDefault="00DD5593" w:rsidP="00DD5593">
      <w:pPr>
        <w:ind w:firstLine="360"/>
        <w:jc w:val="both"/>
        <w:rPr>
          <w:rFonts w:asciiTheme="minorHAnsi" w:hAnsiTheme="minorHAnsi" w:cstheme="minorHAnsi"/>
          <w:sz w:val="12"/>
          <w:szCs w:val="12"/>
        </w:rPr>
      </w:pPr>
    </w:p>
    <w:p w:rsidR="000A1916" w:rsidRDefault="00A2350E" w:rsidP="000A1916">
      <w:pPr>
        <w:pStyle w:val="ListParagraph"/>
        <w:numPr>
          <w:ilvl w:val="0"/>
          <w:numId w:val="4"/>
        </w:numPr>
        <w:tabs>
          <w:tab w:val="center" w:pos="4320"/>
          <w:tab w:val="right" w:pos="8640"/>
        </w:tabs>
        <w:jc w:val="both"/>
        <w:rPr>
          <w:rFonts w:asciiTheme="minorHAnsi" w:eastAsia="Calibri" w:hAnsiTheme="minorHAnsi" w:cstheme="minorHAnsi"/>
          <w:bCs/>
        </w:rPr>
      </w:pPr>
      <w:r w:rsidRPr="00A2350E">
        <w:rPr>
          <w:rFonts w:asciiTheme="minorHAnsi" w:eastAsia="Calibri" w:hAnsiTheme="minorHAnsi" w:cstheme="minorHAnsi"/>
          <w:bCs/>
        </w:rPr>
        <w:t xml:space="preserve">Find </w:t>
      </w:r>
      <w:r w:rsidR="000A1916" w:rsidRPr="000A1916">
        <w:rPr>
          <w:rFonts w:asciiTheme="minorHAnsi" w:eastAsia="Calibri" w:hAnsiTheme="minorHAnsi" w:cstheme="minorHAnsi"/>
          <w:bCs/>
        </w:rPr>
        <w:t>Lydia Rodriguez is eligible for the Enterprise Zone Tax Credit Program.</w:t>
      </w:r>
    </w:p>
    <w:p w:rsidR="000A1916" w:rsidRPr="00C148AA" w:rsidRDefault="000A1916" w:rsidP="000A1916">
      <w:pPr>
        <w:pStyle w:val="ListParagraph"/>
        <w:tabs>
          <w:tab w:val="center" w:pos="4320"/>
          <w:tab w:val="right" w:pos="8640"/>
        </w:tabs>
        <w:ind w:left="975"/>
        <w:jc w:val="both"/>
        <w:rPr>
          <w:rFonts w:asciiTheme="minorHAnsi" w:eastAsia="Calibri" w:hAnsiTheme="minorHAnsi" w:cstheme="minorHAnsi"/>
          <w:bCs/>
          <w:sz w:val="20"/>
          <w:szCs w:val="20"/>
        </w:rPr>
      </w:pPr>
    </w:p>
    <w:p w:rsidR="000A1916" w:rsidRDefault="000A1916" w:rsidP="000A1916">
      <w:pPr>
        <w:pStyle w:val="ListParagraph"/>
        <w:numPr>
          <w:ilvl w:val="0"/>
          <w:numId w:val="4"/>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t>Find</w:t>
      </w:r>
      <w:r w:rsidRPr="000A1916">
        <w:rPr>
          <w:rFonts w:asciiTheme="minorHAnsi" w:eastAsia="Calibri" w:hAnsiTheme="minorHAnsi" w:cstheme="minorHAnsi"/>
          <w:bCs/>
        </w:rPr>
        <w:t xml:space="preserve"> Lydia Rodriguez deserving of a grant of tax incentive benefits for 45 King Street, Frederiksted, </w:t>
      </w:r>
      <w:proofErr w:type="gramStart"/>
      <w:r w:rsidRPr="000A1916">
        <w:rPr>
          <w:rFonts w:asciiTheme="minorHAnsi" w:eastAsia="Calibri" w:hAnsiTheme="minorHAnsi" w:cstheme="minorHAnsi"/>
          <w:bCs/>
        </w:rPr>
        <w:t>St</w:t>
      </w:r>
      <w:proofErr w:type="gramEnd"/>
      <w:r w:rsidRPr="000A1916">
        <w:rPr>
          <w:rFonts w:asciiTheme="minorHAnsi" w:eastAsia="Calibri" w:hAnsiTheme="minorHAnsi" w:cstheme="minorHAnsi"/>
          <w:bCs/>
        </w:rPr>
        <w:t>. Croix.</w:t>
      </w:r>
    </w:p>
    <w:p w:rsidR="000A1916" w:rsidRPr="00C148AA" w:rsidRDefault="000A1916" w:rsidP="000A1916">
      <w:pPr>
        <w:pStyle w:val="ListParagraph"/>
        <w:rPr>
          <w:rFonts w:asciiTheme="minorHAnsi" w:eastAsia="Calibri" w:hAnsiTheme="minorHAnsi" w:cstheme="minorHAnsi"/>
          <w:bCs/>
          <w:sz w:val="20"/>
          <w:szCs w:val="20"/>
        </w:rPr>
      </w:pPr>
    </w:p>
    <w:p w:rsidR="00A2350E" w:rsidRDefault="000A1916" w:rsidP="000A1916">
      <w:pPr>
        <w:pStyle w:val="ListParagraph"/>
        <w:numPr>
          <w:ilvl w:val="0"/>
          <w:numId w:val="4"/>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t>G</w:t>
      </w:r>
      <w:r w:rsidRPr="000A1916">
        <w:rPr>
          <w:rFonts w:asciiTheme="minorHAnsi" w:eastAsia="Calibri" w:hAnsiTheme="minorHAnsi" w:cstheme="minorHAnsi"/>
          <w:bCs/>
        </w:rPr>
        <w:t xml:space="preserve">rant </w:t>
      </w:r>
      <w:r>
        <w:rPr>
          <w:rFonts w:asciiTheme="minorHAnsi" w:eastAsia="Calibri" w:hAnsiTheme="minorHAnsi" w:cstheme="minorHAnsi"/>
          <w:bCs/>
        </w:rPr>
        <w:t>Lydia Rodriguez</w:t>
      </w:r>
      <w:r w:rsidRPr="000A1916">
        <w:rPr>
          <w:rFonts w:asciiTheme="minorHAnsi" w:eastAsia="Calibri" w:hAnsiTheme="minorHAnsi" w:cstheme="minorHAnsi"/>
          <w:bCs/>
        </w:rPr>
        <w:t xml:space="preserve"> tax incentives </w:t>
      </w:r>
      <w:r>
        <w:rPr>
          <w:rFonts w:asciiTheme="minorHAnsi" w:eastAsia="Calibri" w:hAnsiTheme="minorHAnsi" w:cstheme="minorHAnsi"/>
          <w:bCs/>
        </w:rPr>
        <w:t>benefits</w:t>
      </w:r>
      <w:r w:rsidRPr="000A1916">
        <w:rPr>
          <w:rFonts w:asciiTheme="minorHAnsi" w:eastAsia="Calibri" w:hAnsiTheme="minorHAnsi" w:cstheme="minorHAnsi"/>
          <w:bCs/>
        </w:rPr>
        <w:t xml:space="preserve"> at 100% of the benefits authorized by law for a period of 10 years in accordance with the provisions of Title 29 V.I. CODE ANNOTATED, Chapter 19.</w:t>
      </w:r>
    </w:p>
    <w:p w:rsidR="00A2350E" w:rsidRPr="00255B7B" w:rsidRDefault="00A2350E" w:rsidP="00A2350E">
      <w:pPr>
        <w:tabs>
          <w:tab w:val="center" w:pos="4320"/>
          <w:tab w:val="right" w:pos="8640"/>
        </w:tabs>
        <w:ind w:left="360"/>
        <w:contextualSpacing/>
        <w:jc w:val="both"/>
        <w:rPr>
          <w:rFonts w:ascii="Calibri" w:eastAsia="Calibri" w:hAnsi="Calibri"/>
        </w:rPr>
      </w:pPr>
    </w:p>
    <w:p w:rsidR="00A2350E" w:rsidRPr="00DF7B8C" w:rsidRDefault="00A2350E" w:rsidP="00C11C01">
      <w:pPr>
        <w:pStyle w:val="ListParagraph"/>
        <w:numPr>
          <w:ilvl w:val="0"/>
          <w:numId w:val="2"/>
        </w:numPr>
        <w:tabs>
          <w:tab w:val="center" w:pos="4320"/>
          <w:tab w:val="right" w:pos="8640"/>
        </w:tabs>
        <w:ind w:left="851" w:hanging="284"/>
        <w:rPr>
          <w:rFonts w:asciiTheme="minorHAnsi" w:hAnsiTheme="minorHAnsi" w:cstheme="minorHAnsi"/>
          <w:b/>
          <w:sz w:val="20"/>
          <w:szCs w:val="20"/>
          <w:u w:val="single"/>
        </w:rPr>
      </w:pPr>
      <w:r>
        <w:rPr>
          <w:rFonts w:asciiTheme="minorHAnsi" w:hAnsiTheme="minorHAnsi" w:cstheme="minorHAnsi"/>
          <w:b/>
          <w:sz w:val="20"/>
          <w:szCs w:val="20"/>
          <w:u w:val="single"/>
        </w:rPr>
        <w:t>COMPLIANCE</w:t>
      </w:r>
      <w:r w:rsidRPr="00DF7B8C">
        <w:rPr>
          <w:rFonts w:asciiTheme="minorHAnsi" w:hAnsiTheme="minorHAnsi" w:cstheme="minorHAnsi"/>
          <w:b/>
          <w:sz w:val="20"/>
          <w:szCs w:val="20"/>
          <w:u w:val="single"/>
        </w:rPr>
        <w:t>:</w:t>
      </w:r>
    </w:p>
    <w:p w:rsidR="00A2350E" w:rsidRPr="0034492E" w:rsidRDefault="00A2350E" w:rsidP="00A2350E">
      <w:pPr>
        <w:tabs>
          <w:tab w:val="center" w:pos="4320"/>
          <w:tab w:val="right" w:pos="8640"/>
        </w:tabs>
        <w:jc w:val="both"/>
        <w:rPr>
          <w:rFonts w:asciiTheme="minorHAnsi" w:hAnsiTheme="minorHAnsi" w:cstheme="minorHAnsi"/>
          <w:sz w:val="8"/>
          <w:szCs w:val="8"/>
        </w:rPr>
      </w:pPr>
    </w:p>
    <w:p w:rsidR="00A2350E" w:rsidRPr="00777325" w:rsidRDefault="00A2350E" w:rsidP="00C11C01">
      <w:pPr>
        <w:pStyle w:val="ListParagraph"/>
        <w:numPr>
          <w:ilvl w:val="0"/>
          <w:numId w:val="6"/>
        </w:numPr>
        <w:tabs>
          <w:tab w:val="center" w:pos="4320"/>
          <w:tab w:val="right" w:pos="8640"/>
        </w:tabs>
        <w:ind w:hanging="513"/>
        <w:jc w:val="both"/>
        <w:rPr>
          <w:rFonts w:asciiTheme="minorHAnsi" w:hAnsiTheme="minorHAnsi" w:cstheme="minorHAnsi"/>
          <w:b/>
        </w:rPr>
      </w:pPr>
      <w:proofErr w:type="spellStart"/>
      <w:r w:rsidRPr="00A2350E">
        <w:rPr>
          <w:rFonts w:asciiTheme="minorHAnsi" w:hAnsiTheme="minorHAnsi" w:cstheme="minorHAnsi"/>
          <w:b/>
        </w:rPr>
        <w:t>C</w:t>
      </w:r>
      <w:r w:rsidR="00255B7B">
        <w:rPr>
          <w:rFonts w:asciiTheme="minorHAnsi" w:hAnsiTheme="minorHAnsi" w:cstheme="minorHAnsi"/>
          <w:b/>
        </w:rPr>
        <w:t>andeya</w:t>
      </w:r>
      <w:proofErr w:type="spellEnd"/>
      <w:r w:rsidR="00255B7B">
        <w:rPr>
          <w:rFonts w:asciiTheme="minorHAnsi" w:hAnsiTheme="minorHAnsi" w:cstheme="minorHAnsi"/>
          <w:b/>
        </w:rPr>
        <w:t xml:space="preserve"> Turnbull Browne</w:t>
      </w:r>
      <w:r w:rsidRPr="00A2350E">
        <w:rPr>
          <w:rFonts w:asciiTheme="minorHAnsi" w:hAnsiTheme="minorHAnsi" w:cstheme="minorHAnsi"/>
          <w:b/>
        </w:rPr>
        <w:t xml:space="preserve"> </w:t>
      </w:r>
      <w:r w:rsidR="00255B7B">
        <w:rPr>
          <w:rFonts w:asciiTheme="minorHAnsi" w:hAnsiTheme="minorHAnsi" w:cstheme="minorHAnsi"/>
          <w:b/>
        </w:rPr>
        <w:t>–</w:t>
      </w:r>
      <w:r>
        <w:rPr>
          <w:rFonts w:asciiTheme="minorHAnsi" w:hAnsiTheme="minorHAnsi" w:cstheme="minorHAnsi"/>
          <w:b/>
        </w:rPr>
        <w:t xml:space="preserve"> </w:t>
      </w:r>
      <w:r w:rsidR="00255B7B">
        <w:rPr>
          <w:rFonts w:asciiTheme="minorHAnsi" w:hAnsiTheme="minorHAnsi" w:cstheme="minorHAnsi"/>
          <w:b/>
        </w:rPr>
        <w:t xml:space="preserve">Removal from </w:t>
      </w:r>
      <w:r w:rsidR="00A04A4C">
        <w:rPr>
          <w:rFonts w:asciiTheme="minorHAnsi" w:hAnsiTheme="minorHAnsi" w:cstheme="minorHAnsi"/>
          <w:b/>
        </w:rPr>
        <w:t xml:space="preserve">EZC </w:t>
      </w:r>
      <w:r w:rsidR="00255B7B">
        <w:rPr>
          <w:rFonts w:asciiTheme="minorHAnsi" w:hAnsiTheme="minorHAnsi" w:cstheme="minorHAnsi"/>
          <w:b/>
        </w:rPr>
        <w:t>Tax Eligibility List</w:t>
      </w:r>
    </w:p>
    <w:p w:rsidR="00A2350E" w:rsidRPr="008D3A1A" w:rsidRDefault="00A2350E" w:rsidP="00A2350E">
      <w:pPr>
        <w:ind w:firstLine="360"/>
        <w:jc w:val="both"/>
        <w:rPr>
          <w:rFonts w:asciiTheme="minorHAnsi" w:hAnsiTheme="minorHAnsi" w:cstheme="minorHAnsi"/>
          <w:sz w:val="8"/>
          <w:szCs w:val="8"/>
        </w:rPr>
      </w:pPr>
    </w:p>
    <w:p w:rsidR="00255B7B" w:rsidRPr="00255B7B" w:rsidRDefault="00255B7B" w:rsidP="00255B7B">
      <w:pPr>
        <w:ind w:left="567"/>
        <w:jc w:val="both"/>
        <w:rPr>
          <w:rFonts w:asciiTheme="minorHAnsi" w:hAnsiTheme="minorHAnsi" w:cstheme="minorHAnsi"/>
          <w:i/>
          <w:sz w:val="20"/>
          <w:szCs w:val="20"/>
        </w:rPr>
      </w:pPr>
      <w:proofErr w:type="spellStart"/>
      <w:r w:rsidRPr="00255B7B">
        <w:rPr>
          <w:rFonts w:asciiTheme="minorHAnsi" w:hAnsiTheme="minorHAnsi" w:cstheme="minorHAnsi"/>
          <w:i/>
          <w:sz w:val="20"/>
          <w:szCs w:val="20"/>
        </w:rPr>
        <w:t>Candeya</w:t>
      </w:r>
      <w:proofErr w:type="spellEnd"/>
      <w:r w:rsidRPr="00255B7B">
        <w:rPr>
          <w:rFonts w:asciiTheme="minorHAnsi" w:hAnsiTheme="minorHAnsi" w:cstheme="minorHAnsi"/>
          <w:i/>
          <w:sz w:val="20"/>
          <w:szCs w:val="20"/>
        </w:rPr>
        <w:t xml:space="preserve"> Turnbull-Browne was granted benefits for construction </w:t>
      </w:r>
      <w:r w:rsidR="007B022B">
        <w:rPr>
          <w:rFonts w:asciiTheme="minorHAnsi" w:hAnsiTheme="minorHAnsi" w:cstheme="minorHAnsi"/>
          <w:i/>
          <w:sz w:val="20"/>
          <w:szCs w:val="20"/>
        </w:rPr>
        <w:t xml:space="preserve">of a </w:t>
      </w:r>
      <w:r w:rsidR="00756D8B">
        <w:rPr>
          <w:rFonts w:asciiTheme="minorHAnsi" w:hAnsiTheme="minorHAnsi" w:cstheme="minorHAnsi"/>
          <w:i/>
          <w:sz w:val="20"/>
          <w:szCs w:val="20"/>
        </w:rPr>
        <w:t>building</w:t>
      </w:r>
      <w:r w:rsidR="007B022B">
        <w:rPr>
          <w:rFonts w:asciiTheme="minorHAnsi" w:hAnsiTheme="minorHAnsi" w:cstheme="minorHAnsi"/>
          <w:i/>
          <w:sz w:val="20"/>
          <w:szCs w:val="20"/>
        </w:rPr>
        <w:t xml:space="preserve"> </w:t>
      </w:r>
      <w:r w:rsidRPr="00255B7B">
        <w:rPr>
          <w:rFonts w:asciiTheme="minorHAnsi" w:hAnsiTheme="minorHAnsi" w:cstheme="minorHAnsi"/>
          <w:i/>
          <w:sz w:val="20"/>
          <w:szCs w:val="20"/>
        </w:rPr>
        <w:t>at #2B</w:t>
      </w:r>
      <w:r w:rsidR="009502F8">
        <w:rPr>
          <w:rFonts w:asciiTheme="minorHAnsi" w:hAnsiTheme="minorHAnsi" w:cstheme="minorHAnsi"/>
          <w:i/>
          <w:sz w:val="20"/>
          <w:szCs w:val="20"/>
        </w:rPr>
        <w:t xml:space="preserve"> </w:t>
      </w:r>
      <w:proofErr w:type="spellStart"/>
      <w:r w:rsidR="009502F8">
        <w:rPr>
          <w:rFonts w:asciiTheme="minorHAnsi" w:hAnsiTheme="minorHAnsi" w:cstheme="minorHAnsi"/>
          <w:i/>
          <w:sz w:val="20"/>
          <w:szCs w:val="20"/>
        </w:rPr>
        <w:t>Jeggegut</w:t>
      </w:r>
      <w:proofErr w:type="spellEnd"/>
      <w:r w:rsidR="009502F8">
        <w:rPr>
          <w:rFonts w:asciiTheme="minorHAnsi" w:hAnsiTheme="minorHAnsi" w:cstheme="minorHAnsi"/>
          <w:i/>
          <w:sz w:val="20"/>
          <w:szCs w:val="20"/>
        </w:rPr>
        <w:t xml:space="preserve"> </w:t>
      </w:r>
      <w:proofErr w:type="spellStart"/>
      <w:r w:rsidR="009502F8">
        <w:rPr>
          <w:rFonts w:asciiTheme="minorHAnsi" w:hAnsiTheme="minorHAnsi" w:cstheme="minorHAnsi"/>
          <w:i/>
          <w:sz w:val="20"/>
          <w:szCs w:val="20"/>
        </w:rPr>
        <w:t>Gade</w:t>
      </w:r>
      <w:proofErr w:type="spellEnd"/>
      <w:r w:rsidR="009502F8">
        <w:rPr>
          <w:rFonts w:asciiTheme="minorHAnsi" w:hAnsiTheme="minorHAnsi" w:cstheme="minorHAnsi"/>
          <w:i/>
          <w:sz w:val="20"/>
          <w:szCs w:val="20"/>
        </w:rPr>
        <w:t>, St. Thomas</w:t>
      </w:r>
      <w:r w:rsidRPr="00255B7B">
        <w:rPr>
          <w:rFonts w:asciiTheme="minorHAnsi" w:hAnsiTheme="minorHAnsi" w:cstheme="minorHAnsi"/>
          <w:i/>
          <w:sz w:val="20"/>
          <w:szCs w:val="20"/>
        </w:rPr>
        <w:t xml:space="preserve"> on July 16, 2012. After nine (9) years of correspondence being sent to the client, the client has failed to submit all of the requested documents in order that the </w:t>
      </w:r>
      <w:r>
        <w:rPr>
          <w:rFonts w:asciiTheme="minorHAnsi" w:hAnsiTheme="minorHAnsi" w:cstheme="minorHAnsi"/>
          <w:i/>
          <w:sz w:val="20"/>
          <w:szCs w:val="20"/>
        </w:rPr>
        <w:t>EZC</w:t>
      </w:r>
      <w:r w:rsidRPr="00255B7B">
        <w:rPr>
          <w:rFonts w:asciiTheme="minorHAnsi" w:hAnsiTheme="minorHAnsi" w:cstheme="minorHAnsi"/>
          <w:i/>
          <w:sz w:val="20"/>
          <w:szCs w:val="20"/>
        </w:rPr>
        <w:t xml:space="preserve"> may carry out its duties as required in Title 29 VIC §1007(b) and §1007(d).</w:t>
      </w:r>
      <w:r w:rsidR="00381E49">
        <w:rPr>
          <w:rFonts w:asciiTheme="minorHAnsi" w:hAnsiTheme="minorHAnsi" w:cstheme="minorHAnsi"/>
          <w:i/>
          <w:sz w:val="20"/>
          <w:szCs w:val="20"/>
        </w:rPr>
        <w:t xml:space="preserve"> EZC verified that no benefit under the program was taken.</w:t>
      </w:r>
    </w:p>
    <w:p w:rsidR="00255B7B" w:rsidRPr="00255B7B" w:rsidRDefault="00255B7B" w:rsidP="00A2350E">
      <w:pPr>
        <w:ind w:firstLine="567"/>
        <w:jc w:val="both"/>
        <w:rPr>
          <w:rFonts w:asciiTheme="minorHAnsi" w:hAnsiTheme="minorHAnsi" w:cstheme="minorHAnsi"/>
          <w:sz w:val="16"/>
          <w:szCs w:val="16"/>
        </w:rPr>
      </w:pPr>
    </w:p>
    <w:p w:rsidR="00A2350E" w:rsidRPr="00777325" w:rsidRDefault="00A2350E" w:rsidP="00A2350E">
      <w:pPr>
        <w:ind w:firstLine="567"/>
        <w:jc w:val="both"/>
        <w:rPr>
          <w:rFonts w:asciiTheme="minorHAnsi" w:hAnsiTheme="minorHAnsi" w:cstheme="minorHAnsi"/>
        </w:rPr>
      </w:pPr>
      <w:r w:rsidRPr="00777325">
        <w:rPr>
          <w:rFonts w:asciiTheme="minorHAnsi" w:hAnsiTheme="minorHAnsi" w:cstheme="minorHAnsi"/>
        </w:rPr>
        <w:t>The</w:t>
      </w:r>
      <w:r>
        <w:rPr>
          <w:rFonts w:asciiTheme="minorHAnsi" w:hAnsiTheme="minorHAnsi" w:cstheme="minorHAnsi"/>
        </w:rPr>
        <w:t xml:space="preserve"> Governing </w:t>
      </w:r>
      <w:r w:rsidRPr="00777325">
        <w:rPr>
          <w:rFonts w:asciiTheme="minorHAnsi" w:hAnsiTheme="minorHAnsi" w:cstheme="minorHAnsi"/>
        </w:rPr>
        <w:t xml:space="preserve">Board voted </w:t>
      </w:r>
      <w:r w:rsidR="009502F8">
        <w:rPr>
          <w:rFonts w:asciiTheme="minorHAnsi" w:hAnsiTheme="minorHAnsi" w:cstheme="minorHAnsi"/>
        </w:rPr>
        <w:t>(4</w:t>
      </w:r>
      <w:r w:rsidRPr="00777325">
        <w:rPr>
          <w:rFonts w:asciiTheme="minorHAnsi" w:hAnsiTheme="minorHAnsi" w:cstheme="minorHAnsi"/>
        </w:rPr>
        <w:t>– 0) to:</w:t>
      </w:r>
    </w:p>
    <w:p w:rsidR="00A2350E" w:rsidRPr="008D3A1A" w:rsidRDefault="00A2350E" w:rsidP="00A2350E">
      <w:pPr>
        <w:ind w:firstLine="360"/>
        <w:jc w:val="both"/>
        <w:rPr>
          <w:rFonts w:asciiTheme="minorHAnsi" w:hAnsiTheme="minorHAnsi" w:cstheme="minorHAnsi"/>
          <w:sz w:val="12"/>
          <w:szCs w:val="12"/>
        </w:rPr>
      </w:pPr>
    </w:p>
    <w:p w:rsidR="002175D5" w:rsidRDefault="00A2350E" w:rsidP="002175D5">
      <w:pPr>
        <w:pStyle w:val="ListParagraph"/>
        <w:numPr>
          <w:ilvl w:val="0"/>
          <w:numId w:val="7"/>
        </w:numPr>
        <w:tabs>
          <w:tab w:val="center" w:pos="4320"/>
          <w:tab w:val="right" w:pos="8640"/>
        </w:tabs>
        <w:jc w:val="both"/>
        <w:rPr>
          <w:rFonts w:asciiTheme="minorHAnsi" w:eastAsia="Calibri" w:hAnsiTheme="minorHAnsi" w:cstheme="minorHAnsi"/>
          <w:bCs/>
        </w:rPr>
      </w:pPr>
      <w:r w:rsidRPr="00A2350E">
        <w:rPr>
          <w:rFonts w:asciiTheme="minorHAnsi" w:eastAsia="Calibri" w:hAnsiTheme="minorHAnsi" w:cstheme="minorHAnsi"/>
          <w:bCs/>
        </w:rPr>
        <w:t xml:space="preserve">Find </w:t>
      </w:r>
      <w:r w:rsidR="002175D5">
        <w:rPr>
          <w:rFonts w:asciiTheme="minorHAnsi" w:eastAsia="Calibri" w:hAnsiTheme="minorHAnsi" w:cstheme="minorHAnsi"/>
          <w:bCs/>
        </w:rPr>
        <w:t xml:space="preserve">that </w:t>
      </w:r>
      <w:proofErr w:type="spellStart"/>
      <w:r w:rsidR="002175D5" w:rsidRPr="002175D5">
        <w:rPr>
          <w:rFonts w:asciiTheme="minorHAnsi" w:eastAsia="Calibri" w:hAnsiTheme="minorHAnsi" w:cstheme="minorHAnsi"/>
          <w:bCs/>
        </w:rPr>
        <w:t>Candeya</w:t>
      </w:r>
      <w:proofErr w:type="spellEnd"/>
      <w:r w:rsidR="002175D5" w:rsidRPr="002175D5">
        <w:rPr>
          <w:rFonts w:asciiTheme="minorHAnsi" w:eastAsia="Calibri" w:hAnsiTheme="minorHAnsi" w:cstheme="minorHAnsi"/>
          <w:bCs/>
        </w:rPr>
        <w:t xml:space="preserve"> Turnbull Browne was granted benefits for construction at #2B </w:t>
      </w:r>
      <w:proofErr w:type="spellStart"/>
      <w:r w:rsidR="002175D5" w:rsidRPr="002175D5">
        <w:rPr>
          <w:rFonts w:asciiTheme="minorHAnsi" w:eastAsia="Calibri" w:hAnsiTheme="minorHAnsi" w:cstheme="minorHAnsi"/>
          <w:bCs/>
        </w:rPr>
        <w:t>Jeggegut</w:t>
      </w:r>
      <w:proofErr w:type="spellEnd"/>
      <w:r w:rsidR="002175D5" w:rsidRPr="002175D5">
        <w:rPr>
          <w:rFonts w:asciiTheme="minorHAnsi" w:eastAsia="Calibri" w:hAnsiTheme="minorHAnsi" w:cstheme="minorHAnsi"/>
          <w:bCs/>
        </w:rPr>
        <w:t xml:space="preserve"> </w:t>
      </w:r>
      <w:proofErr w:type="spellStart"/>
      <w:r w:rsidR="002175D5" w:rsidRPr="002175D5">
        <w:rPr>
          <w:rFonts w:asciiTheme="minorHAnsi" w:eastAsia="Calibri" w:hAnsiTheme="minorHAnsi" w:cstheme="minorHAnsi"/>
          <w:bCs/>
        </w:rPr>
        <w:t>Gade</w:t>
      </w:r>
      <w:proofErr w:type="spellEnd"/>
      <w:r w:rsidR="002175D5" w:rsidRPr="002175D5">
        <w:rPr>
          <w:rFonts w:asciiTheme="minorHAnsi" w:eastAsia="Calibri" w:hAnsiTheme="minorHAnsi" w:cstheme="minorHAnsi"/>
          <w:bCs/>
        </w:rPr>
        <w:t xml:space="preserve">, St. Thomas, USVI on July 16, 2012 but has failed to report as </w:t>
      </w:r>
      <w:r w:rsidR="002175D5">
        <w:rPr>
          <w:rFonts w:asciiTheme="minorHAnsi" w:eastAsia="Calibri" w:hAnsiTheme="minorHAnsi" w:cstheme="minorHAnsi"/>
          <w:bCs/>
        </w:rPr>
        <w:t>Section 1007(d) requires.</w:t>
      </w:r>
    </w:p>
    <w:p w:rsidR="002175D5" w:rsidRPr="008D3A1A" w:rsidRDefault="002175D5" w:rsidP="002175D5">
      <w:pPr>
        <w:pStyle w:val="ListParagraph"/>
        <w:tabs>
          <w:tab w:val="center" w:pos="4320"/>
          <w:tab w:val="right" w:pos="8640"/>
        </w:tabs>
        <w:ind w:left="975"/>
        <w:jc w:val="both"/>
        <w:rPr>
          <w:rFonts w:asciiTheme="minorHAnsi" w:eastAsia="Calibri" w:hAnsiTheme="minorHAnsi" w:cstheme="minorHAnsi"/>
          <w:bCs/>
          <w:sz w:val="20"/>
          <w:szCs w:val="20"/>
        </w:rPr>
      </w:pPr>
    </w:p>
    <w:p w:rsidR="00916576" w:rsidRDefault="002175D5" w:rsidP="002175D5">
      <w:pPr>
        <w:pStyle w:val="ListParagraph"/>
        <w:numPr>
          <w:ilvl w:val="0"/>
          <w:numId w:val="7"/>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t xml:space="preserve">Remove </w:t>
      </w:r>
      <w:proofErr w:type="spellStart"/>
      <w:r w:rsidRPr="002175D5">
        <w:rPr>
          <w:rFonts w:asciiTheme="minorHAnsi" w:eastAsia="Calibri" w:hAnsiTheme="minorHAnsi" w:cstheme="minorHAnsi"/>
          <w:bCs/>
        </w:rPr>
        <w:t>Candeya</w:t>
      </w:r>
      <w:proofErr w:type="spellEnd"/>
      <w:r w:rsidRPr="002175D5">
        <w:rPr>
          <w:rFonts w:asciiTheme="minorHAnsi" w:eastAsia="Calibri" w:hAnsiTheme="minorHAnsi" w:cstheme="minorHAnsi"/>
          <w:bCs/>
        </w:rPr>
        <w:t xml:space="preserve"> Turnbull Browne from the EZC tax eligibility list</w:t>
      </w:r>
      <w:r w:rsidR="00916576">
        <w:rPr>
          <w:rFonts w:asciiTheme="minorHAnsi" w:eastAsia="Calibri" w:hAnsiTheme="minorHAnsi" w:cstheme="minorHAnsi"/>
          <w:bCs/>
        </w:rPr>
        <w:t>.</w:t>
      </w:r>
    </w:p>
    <w:p w:rsidR="00916576" w:rsidRPr="008D3A1A" w:rsidRDefault="00916576" w:rsidP="00916576">
      <w:pPr>
        <w:pStyle w:val="ListParagraph"/>
        <w:rPr>
          <w:rFonts w:asciiTheme="minorHAnsi" w:eastAsia="Calibri" w:hAnsiTheme="minorHAnsi" w:cstheme="minorHAnsi"/>
          <w:bCs/>
          <w:sz w:val="20"/>
          <w:szCs w:val="20"/>
        </w:rPr>
      </w:pPr>
    </w:p>
    <w:p w:rsidR="00A2350E" w:rsidRDefault="00916576" w:rsidP="002175D5">
      <w:pPr>
        <w:pStyle w:val="ListParagraph"/>
        <w:numPr>
          <w:ilvl w:val="0"/>
          <w:numId w:val="7"/>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lastRenderedPageBreak/>
        <w:t>R</w:t>
      </w:r>
      <w:r w:rsidR="002175D5">
        <w:rPr>
          <w:rFonts w:asciiTheme="minorHAnsi" w:eastAsia="Calibri" w:hAnsiTheme="minorHAnsi" w:cstheme="minorHAnsi"/>
          <w:bCs/>
        </w:rPr>
        <w:t xml:space="preserve">equire </w:t>
      </w:r>
      <w:proofErr w:type="spellStart"/>
      <w:r w:rsidRPr="002175D5">
        <w:rPr>
          <w:rFonts w:asciiTheme="minorHAnsi" w:eastAsia="Calibri" w:hAnsiTheme="minorHAnsi" w:cstheme="minorHAnsi"/>
          <w:bCs/>
        </w:rPr>
        <w:t>Candeya</w:t>
      </w:r>
      <w:proofErr w:type="spellEnd"/>
      <w:r w:rsidRPr="002175D5">
        <w:rPr>
          <w:rFonts w:asciiTheme="minorHAnsi" w:eastAsia="Calibri" w:hAnsiTheme="minorHAnsi" w:cstheme="minorHAnsi"/>
          <w:bCs/>
        </w:rPr>
        <w:t xml:space="preserve"> Turnbull Browne</w:t>
      </w:r>
      <w:r w:rsidR="002175D5">
        <w:rPr>
          <w:rFonts w:asciiTheme="minorHAnsi" w:eastAsia="Calibri" w:hAnsiTheme="minorHAnsi" w:cstheme="minorHAnsi"/>
          <w:bCs/>
        </w:rPr>
        <w:t xml:space="preserve"> to submit a new application </w:t>
      </w:r>
      <w:r w:rsidR="002175D5" w:rsidRPr="002175D5">
        <w:rPr>
          <w:rFonts w:asciiTheme="minorHAnsi" w:eastAsia="Calibri" w:hAnsiTheme="minorHAnsi" w:cstheme="minorHAnsi"/>
          <w:bCs/>
        </w:rPr>
        <w:t>should they wish to join the program in the future.</w:t>
      </w:r>
    </w:p>
    <w:p w:rsidR="002175D5" w:rsidRPr="002175D5" w:rsidRDefault="002175D5" w:rsidP="002175D5">
      <w:pPr>
        <w:tabs>
          <w:tab w:val="center" w:pos="4320"/>
          <w:tab w:val="right" w:pos="8640"/>
        </w:tabs>
        <w:jc w:val="both"/>
        <w:rPr>
          <w:rFonts w:asciiTheme="minorHAnsi" w:eastAsia="Calibri" w:hAnsiTheme="minorHAnsi" w:cstheme="minorHAnsi"/>
          <w:bCs/>
        </w:rPr>
      </w:pPr>
    </w:p>
    <w:p w:rsidR="00A2350E" w:rsidRPr="0057681B" w:rsidRDefault="009502F8" w:rsidP="00C11C01">
      <w:pPr>
        <w:pStyle w:val="ListParagraph"/>
        <w:numPr>
          <w:ilvl w:val="0"/>
          <w:numId w:val="6"/>
        </w:numPr>
        <w:tabs>
          <w:tab w:val="center" w:pos="4320"/>
          <w:tab w:val="right" w:pos="8640"/>
        </w:tabs>
        <w:ind w:hanging="513"/>
        <w:jc w:val="both"/>
        <w:rPr>
          <w:rFonts w:asciiTheme="minorHAnsi" w:hAnsiTheme="minorHAnsi" w:cstheme="minorHAnsi"/>
          <w:b/>
        </w:rPr>
      </w:pPr>
      <w:proofErr w:type="spellStart"/>
      <w:r w:rsidRPr="009502F8">
        <w:rPr>
          <w:rFonts w:asciiTheme="minorHAnsi" w:hAnsiTheme="minorHAnsi" w:cstheme="minorHAnsi"/>
          <w:b/>
          <w:bCs/>
        </w:rPr>
        <w:t>Keithroy</w:t>
      </w:r>
      <w:proofErr w:type="spellEnd"/>
      <w:r w:rsidRPr="009502F8">
        <w:rPr>
          <w:rFonts w:asciiTheme="minorHAnsi" w:hAnsiTheme="minorHAnsi" w:cstheme="minorHAnsi"/>
          <w:b/>
          <w:bCs/>
        </w:rPr>
        <w:t xml:space="preserve"> &amp; Judith Thompson</w:t>
      </w:r>
      <w:r w:rsidR="0057681B">
        <w:rPr>
          <w:rFonts w:asciiTheme="minorHAnsi" w:hAnsiTheme="minorHAnsi" w:cstheme="minorHAnsi"/>
          <w:b/>
        </w:rPr>
        <w:t xml:space="preserve"> </w:t>
      </w:r>
      <w:r w:rsidR="00255B7B">
        <w:rPr>
          <w:rFonts w:asciiTheme="minorHAnsi" w:hAnsiTheme="minorHAnsi" w:cstheme="minorHAnsi"/>
          <w:b/>
        </w:rPr>
        <w:t>–</w:t>
      </w:r>
      <w:r w:rsidR="0057681B">
        <w:rPr>
          <w:rFonts w:asciiTheme="minorHAnsi" w:hAnsiTheme="minorHAnsi" w:cstheme="minorHAnsi"/>
          <w:b/>
        </w:rPr>
        <w:t xml:space="preserve"> </w:t>
      </w:r>
      <w:r w:rsidR="0057681B" w:rsidRPr="0057681B">
        <w:rPr>
          <w:rFonts w:asciiTheme="minorHAnsi" w:hAnsiTheme="minorHAnsi" w:cstheme="minorHAnsi"/>
          <w:b/>
        </w:rPr>
        <w:t>Removal</w:t>
      </w:r>
      <w:r w:rsidR="00255B7B">
        <w:rPr>
          <w:rFonts w:asciiTheme="minorHAnsi" w:hAnsiTheme="minorHAnsi" w:cstheme="minorHAnsi"/>
          <w:b/>
        </w:rPr>
        <w:t xml:space="preserve"> for </w:t>
      </w:r>
      <w:r w:rsidR="00A04A4C">
        <w:rPr>
          <w:rFonts w:asciiTheme="minorHAnsi" w:hAnsiTheme="minorHAnsi" w:cstheme="minorHAnsi"/>
          <w:b/>
        </w:rPr>
        <w:t xml:space="preserve">EZC </w:t>
      </w:r>
      <w:r w:rsidR="00255B7B">
        <w:rPr>
          <w:rFonts w:asciiTheme="minorHAnsi" w:hAnsiTheme="minorHAnsi" w:cstheme="minorHAnsi"/>
          <w:b/>
        </w:rPr>
        <w:t>Tax Eligibility List</w:t>
      </w:r>
    </w:p>
    <w:p w:rsidR="00A2350E" w:rsidRPr="008D3A1A" w:rsidRDefault="00A2350E" w:rsidP="00A2350E">
      <w:pPr>
        <w:ind w:firstLine="360"/>
        <w:jc w:val="both"/>
        <w:rPr>
          <w:rFonts w:asciiTheme="minorHAnsi" w:hAnsiTheme="minorHAnsi" w:cstheme="minorHAnsi"/>
          <w:sz w:val="8"/>
          <w:szCs w:val="8"/>
        </w:rPr>
      </w:pPr>
    </w:p>
    <w:p w:rsidR="007B022B" w:rsidRPr="007B022B" w:rsidRDefault="007B022B" w:rsidP="00381E49">
      <w:pPr>
        <w:ind w:left="567"/>
        <w:jc w:val="both"/>
        <w:rPr>
          <w:rFonts w:asciiTheme="minorHAnsi" w:hAnsiTheme="minorHAnsi" w:cstheme="minorHAnsi"/>
          <w:i/>
          <w:sz w:val="20"/>
          <w:szCs w:val="20"/>
        </w:rPr>
      </w:pPr>
      <w:proofErr w:type="spellStart"/>
      <w:r w:rsidRPr="007B022B">
        <w:rPr>
          <w:rFonts w:asciiTheme="minorHAnsi" w:hAnsiTheme="minorHAnsi" w:cstheme="minorHAnsi"/>
          <w:i/>
          <w:sz w:val="20"/>
          <w:szCs w:val="20"/>
        </w:rPr>
        <w:t>Keithroy</w:t>
      </w:r>
      <w:proofErr w:type="spellEnd"/>
      <w:r w:rsidRPr="007B022B">
        <w:rPr>
          <w:rFonts w:asciiTheme="minorHAnsi" w:hAnsiTheme="minorHAnsi" w:cstheme="minorHAnsi"/>
          <w:i/>
          <w:sz w:val="20"/>
          <w:szCs w:val="20"/>
        </w:rPr>
        <w:t xml:space="preserve"> &amp; Judith Thompson was granted benefits for rehabilitation at </w:t>
      </w:r>
      <w:proofErr w:type="spellStart"/>
      <w:r w:rsidRPr="007B022B">
        <w:rPr>
          <w:rFonts w:asciiTheme="minorHAnsi" w:hAnsiTheme="minorHAnsi" w:cstheme="minorHAnsi"/>
          <w:i/>
          <w:sz w:val="20"/>
          <w:szCs w:val="20"/>
        </w:rPr>
        <w:t>Vester</w:t>
      </w:r>
      <w:proofErr w:type="spellEnd"/>
      <w:r w:rsidRPr="007B022B">
        <w:rPr>
          <w:rFonts w:asciiTheme="minorHAnsi" w:hAnsiTheme="minorHAnsi" w:cstheme="minorHAnsi"/>
          <w:i/>
          <w:sz w:val="20"/>
          <w:szCs w:val="20"/>
        </w:rPr>
        <w:t xml:space="preserve"> </w:t>
      </w:r>
      <w:proofErr w:type="spellStart"/>
      <w:r w:rsidRPr="007B022B">
        <w:rPr>
          <w:rFonts w:asciiTheme="minorHAnsi" w:hAnsiTheme="minorHAnsi" w:cstheme="minorHAnsi"/>
          <w:i/>
          <w:sz w:val="20"/>
          <w:szCs w:val="20"/>
        </w:rPr>
        <w:t>Gade</w:t>
      </w:r>
      <w:proofErr w:type="spellEnd"/>
      <w:r w:rsidRPr="007B022B">
        <w:rPr>
          <w:rFonts w:asciiTheme="minorHAnsi" w:hAnsiTheme="minorHAnsi" w:cstheme="minorHAnsi"/>
          <w:i/>
          <w:sz w:val="20"/>
          <w:szCs w:val="20"/>
        </w:rPr>
        <w:t xml:space="preserve"> #22 &amp; 23, St. Thomas, USVI on December 5, 2012. After nine (9) years of correspondence being sent to the client, the client has failed to report so that the Commission may carry out its duties as required in Title 29 VIC §1007(b) and §1007(d).</w:t>
      </w:r>
      <w:r w:rsidR="00381E49">
        <w:rPr>
          <w:rFonts w:asciiTheme="minorHAnsi" w:hAnsiTheme="minorHAnsi" w:cstheme="minorHAnsi"/>
          <w:i/>
          <w:sz w:val="20"/>
          <w:szCs w:val="20"/>
        </w:rPr>
        <w:t xml:space="preserve"> </w:t>
      </w:r>
      <w:r w:rsidR="00381E49">
        <w:rPr>
          <w:rFonts w:asciiTheme="minorHAnsi" w:hAnsiTheme="minorHAnsi" w:cstheme="minorHAnsi"/>
          <w:i/>
          <w:sz w:val="20"/>
          <w:szCs w:val="20"/>
        </w:rPr>
        <w:t>EZC verified that no benefit under the program was taken.</w:t>
      </w:r>
    </w:p>
    <w:p w:rsidR="007B022B" w:rsidRPr="008D3A1A" w:rsidRDefault="007B022B" w:rsidP="00A2350E">
      <w:pPr>
        <w:ind w:firstLine="567"/>
        <w:jc w:val="both"/>
        <w:rPr>
          <w:rFonts w:asciiTheme="minorHAnsi" w:hAnsiTheme="minorHAnsi" w:cstheme="minorHAnsi"/>
          <w:sz w:val="16"/>
          <w:szCs w:val="16"/>
        </w:rPr>
      </w:pPr>
    </w:p>
    <w:p w:rsidR="00A2350E" w:rsidRPr="00777325" w:rsidRDefault="00A2350E" w:rsidP="00A2350E">
      <w:pPr>
        <w:ind w:firstLine="567"/>
        <w:jc w:val="both"/>
        <w:rPr>
          <w:rFonts w:asciiTheme="minorHAnsi" w:hAnsiTheme="minorHAnsi" w:cstheme="minorHAnsi"/>
        </w:rPr>
      </w:pPr>
      <w:r w:rsidRPr="00777325">
        <w:rPr>
          <w:rFonts w:asciiTheme="minorHAnsi" w:hAnsiTheme="minorHAnsi" w:cstheme="minorHAnsi"/>
        </w:rPr>
        <w:t>The</w:t>
      </w:r>
      <w:r>
        <w:rPr>
          <w:rFonts w:asciiTheme="minorHAnsi" w:hAnsiTheme="minorHAnsi" w:cstheme="minorHAnsi"/>
        </w:rPr>
        <w:t xml:space="preserve"> Governing </w:t>
      </w:r>
      <w:r w:rsidRPr="00777325">
        <w:rPr>
          <w:rFonts w:asciiTheme="minorHAnsi" w:hAnsiTheme="minorHAnsi" w:cstheme="minorHAnsi"/>
        </w:rPr>
        <w:t xml:space="preserve">Board voted </w:t>
      </w:r>
      <w:r w:rsidR="009502F8">
        <w:rPr>
          <w:rFonts w:asciiTheme="minorHAnsi" w:hAnsiTheme="minorHAnsi" w:cstheme="minorHAnsi"/>
        </w:rPr>
        <w:t>(4</w:t>
      </w:r>
      <w:r w:rsidRPr="00777325">
        <w:rPr>
          <w:rFonts w:asciiTheme="minorHAnsi" w:hAnsiTheme="minorHAnsi" w:cstheme="minorHAnsi"/>
        </w:rPr>
        <w:t xml:space="preserve"> – 0) to:</w:t>
      </w:r>
    </w:p>
    <w:p w:rsidR="00A2350E" w:rsidRPr="008D3A1A" w:rsidRDefault="00A2350E" w:rsidP="00A2350E">
      <w:pPr>
        <w:ind w:firstLine="360"/>
        <w:jc w:val="both"/>
        <w:rPr>
          <w:rFonts w:asciiTheme="minorHAnsi" w:hAnsiTheme="minorHAnsi" w:cstheme="minorHAnsi"/>
          <w:sz w:val="12"/>
          <w:szCs w:val="12"/>
        </w:rPr>
      </w:pPr>
    </w:p>
    <w:p w:rsidR="008D3A1A" w:rsidRDefault="0057681B" w:rsidP="008D3A1A">
      <w:pPr>
        <w:pStyle w:val="ListParagraph"/>
        <w:numPr>
          <w:ilvl w:val="0"/>
          <w:numId w:val="8"/>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t xml:space="preserve">Find </w:t>
      </w:r>
      <w:proofErr w:type="spellStart"/>
      <w:r w:rsidR="008D3A1A" w:rsidRPr="008D3A1A">
        <w:rPr>
          <w:rFonts w:asciiTheme="minorHAnsi" w:eastAsia="Calibri" w:hAnsiTheme="minorHAnsi" w:cstheme="minorHAnsi"/>
          <w:bCs/>
        </w:rPr>
        <w:t>Keithroy</w:t>
      </w:r>
      <w:proofErr w:type="spellEnd"/>
      <w:r w:rsidR="008D3A1A" w:rsidRPr="008D3A1A">
        <w:rPr>
          <w:rFonts w:asciiTheme="minorHAnsi" w:eastAsia="Calibri" w:hAnsiTheme="minorHAnsi" w:cstheme="minorHAnsi"/>
          <w:bCs/>
        </w:rPr>
        <w:t xml:space="preserve"> &amp; Judith Thompson was granted benefits for rehabilitation at </w:t>
      </w:r>
      <w:proofErr w:type="spellStart"/>
      <w:r w:rsidR="008D3A1A" w:rsidRPr="008D3A1A">
        <w:rPr>
          <w:rFonts w:asciiTheme="minorHAnsi" w:eastAsia="Calibri" w:hAnsiTheme="minorHAnsi" w:cstheme="minorHAnsi"/>
          <w:bCs/>
        </w:rPr>
        <w:t>Vester</w:t>
      </w:r>
      <w:proofErr w:type="spellEnd"/>
      <w:r w:rsidR="008D3A1A" w:rsidRPr="008D3A1A">
        <w:rPr>
          <w:rFonts w:asciiTheme="minorHAnsi" w:eastAsia="Calibri" w:hAnsiTheme="minorHAnsi" w:cstheme="minorHAnsi"/>
          <w:bCs/>
        </w:rPr>
        <w:t xml:space="preserve"> </w:t>
      </w:r>
      <w:proofErr w:type="spellStart"/>
      <w:r w:rsidR="008D3A1A" w:rsidRPr="008D3A1A">
        <w:rPr>
          <w:rFonts w:asciiTheme="minorHAnsi" w:eastAsia="Calibri" w:hAnsiTheme="minorHAnsi" w:cstheme="minorHAnsi"/>
          <w:bCs/>
        </w:rPr>
        <w:t>Gade</w:t>
      </w:r>
      <w:proofErr w:type="spellEnd"/>
      <w:r w:rsidR="008D3A1A" w:rsidRPr="008D3A1A">
        <w:rPr>
          <w:rFonts w:asciiTheme="minorHAnsi" w:eastAsia="Calibri" w:hAnsiTheme="minorHAnsi" w:cstheme="minorHAnsi"/>
          <w:bCs/>
        </w:rPr>
        <w:t xml:space="preserve"> #22 &amp; 23, St. Thomas, USVI on December 5, 2012 but has failed to report as Section 1007(d) requires.</w:t>
      </w:r>
    </w:p>
    <w:p w:rsidR="008D3A1A" w:rsidRPr="008D3A1A" w:rsidRDefault="008D3A1A" w:rsidP="008D3A1A">
      <w:pPr>
        <w:pStyle w:val="ListParagraph"/>
        <w:tabs>
          <w:tab w:val="center" w:pos="4320"/>
          <w:tab w:val="right" w:pos="8640"/>
        </w:tabs>
        <w:ind w:left="975"/>
        <w:jc w:val="both"/>
        <w:rPr>
          <w:rFonts w:asciiTheme="minorHAnsi" w:eastAsia="Calibri" w:hAnsiTheme="minorHAnsi" w:cstheme="minorHAnsi"/>
          <w:bCs/>
          <w:sz w:val="20"/>
          <w:szCs w:val="20"/>
        </w:rPr>
      </w:pPr>
    </w:p>
    <w:p w:rsidR="00593A99" w:rsidRDefault="008D3A1A" w:rsidP="00593A99">
      <w:pPr>
        <w:pStyle w:val="ListParagraph"/>
        <w:numPr>
          <w:ilvl w:val="0"/>
          <w:numId w:val="8"/>
        </w:numPr>
        <w:tabs>
          <w:tab w:val="center" w:pos="4320"/>
          <w:tab w:val="right" w:pos="8640"/>
        </w:tabs>
        <w:jc w:val="both"/>
        <w:rPr>
          <w:rFonts w:asciiTheme="minorHAnsi" w:eastAsia="Calibri" w:hAnsiTheme="minorHAnsi" w:cstheme="minorHAnsi"/>
          <w:bCs/>
        </w:rPr>
      </w:pPr>
      <w:r>
        <w:rPr>
          <w:rFonts w:asciiTheme="minorHAnsi" w:eastAsia="Calibri" w:hAnsiTheme="minorHAnsi" w:cstheme="minorHAnsi"/>
          <w:bCs/>
        </w:rPr>
        <w:t xml:space="preserve">Remove </w:t>
      </w:r>
      <w:proofErr w:type="spellStart"/>
      <w:r w:rsidRPr="008D3A1A">
        <w:rPr>
          <w:rFonts w:asciiTheme="minorHAnsi" w:eastAsia="Calibri" w:hAnsiTheme="minorHAnsi" w:cstheme="minorHAnsi"/>
          <w:bCs/>
        </w:rPr>
        <w:t>Keithroy</w:t>
      </w:r>
      <w:proofErr w:type="spellEnd"/>
      <w:r w:rsidRPr="008D3A1A">
        <w:rPr>
          <w:rFonts w:asciiTheme="minorHAnsi" w:eastAsia="Calibri" w:hAnsiTheme="minorHAnsi" w:cstheme="minorHAnsi"/>
          <w:bCs/>
        </w:rPr>
        <w:t xml:space="preserve"> &amp; Judith Thompson fr</w:t>
      </w:r>
      <w:r>
        <w:rPr>
          <w:rFonts w:asciiTheme="minorHAnsi" w:eastAsia="Calibri" w:hAnsiTheme="minorHAnsi" w:cstheme="minorHAnsi"/>
          <w:bCs/>
        </w:rPr>
        <w:t>om the EZC tax eligibility list</w:t>
      </w:r>
      <w:r w:rsidR="00593A99">
        <w:rPr>
          <w:rFonts w:asciiTheme="minorHAnsi" w:eastAsia="Calibri" w:hAnsiTheme="minorHAnsi" w:cstheme="minorHAnsi"/>
          <w:bCs/>
        </w:rPr>
        <w:t>.</w:t>
      </w:r>
    </w:p>
    <w:p w:rsidR="00593A99" w:rsidRPr="00593A99" w:rsidRDefault="00593A99" w:rsidP="00593A99">
      <w:pPr>
        <w:pStyle w:val="ListParagraph"/>
        <w:rPr>
          <w:rFonts w:asciiTheme="minorHAnsi" w:eastAsia="Calibri" w:hAnsiTheme="minorHAnsi" w:cstheme="minorHAnsi"/>
          <w:bCs/>
          <w:sz w:val="20"/>
          <w:szCs w:val="20"/>
        </w:rPr>
      </w:pPr>
    </w:p>
    <w:p w:rsidR="00593A99" w:rsidRPr="00593A99" w:rsidRDefault="008D3A1A" w:rsidP="00593A99">
      <w:pPr>
        <w:pStyle w:val="ListParagraph"/>
        <w:numPr>
          <w:ilvl w:val="0"/>
          <w:numId w:val="8"/>
        </w:numPr>
        <w:tabs>
          <w:tab w:val="center" w:pos="4320"/>
          <w:tab w:val="right" w:pos="8640"/>
        </w:tabs>
        <w:jc w:val="both"/>
        <w:rPr>
          <w:rFonts w:asciiTheme="minorHAnsi" w:eastAsia="Calibri" w:hAnsiTheme="minorHAnsi" w:cstheme="minorHAnsi"/>
          <w:bCs/>
        </w:rPr>
      </w:pPr>
      <w:r w:rsidRPr="00593A99">
        <w:rPr>
          <w:rFonts w:asciiTheme="minorHAnsi" w:eastAsia="Calibri" w:hAnsiTheme="minorHAnsi" w:cstheme="minorHAnsi"/>
          <w:bCs/>
        </w:rPr>
        <w:t xml:space="preserve">Require </w:t>
      </w:r>
      <w:proofErr w:type="spellStart"/>
      <w:r w:rsidRPr="00593A99">
        <w:rPr>
          <w:rFonts w:asciiTheme="minorHAnsi" w:eastAsia="Calibri" w:hAnsiTheme="minorHAnsi" w:cstheme="minorHAnsi"/>
          <w:bCs/>
        </w:rPr>
        <w:t>Keithroy</w:t>
      </w:r>
      <w:proofErr w:type="spellEnd"/>
      <w:r w:rsidRPr="00593A99">
        <w:rPr>
          <w:rFonts w:asciiTheme="minorHAnsi" w:eastAsia="Calibri" w:hAnsiTheme="minorHAnsi" w:cstheme="minorHAnsi"/>
          <w:bCs/>
        </w:rPr>
        <w:t xml:space="preserve"> &amp; Judith Thompson to submit a new application should they wish to join the program in the future.</w:t>
      </w:r>
      <w:r w:rsidR="00593A99" w:rsidRPr="00593A99">
        <w:rPr>
          <w:rFonts w:ascii="Calibri" w:eastAsia="Calibri" w:hAnsi="Calibri"/>
        </w:rPr>
        <w:t xml:space="preserve"> </w:t>
      </w:r>
    </w:p>
    <w:p w:rsidR="00593A99" w:rsidRPr="00593A99" w:rsidRDefault="00593A99" w:rsidP="00593A99">
      <w:pPr>
        <w:tabs>
          <w:tab w:val="center" w:pos="4320"/>
          <w:tab w:val="right" w:pos="8640"/>
        </w:tabs>
        <w:ind w:left="360"/>
        <w:contextualSpacing/>
        <w:jc w:val="both"/>
        <w:rPr>
          <w:rFonts w:ascii="Calibri" w:eastAsia="Calibri" w:hAnsi="Calibri"/>
        </w:rPr>
      </w:pPr>
    </w:p>
    <w:p w:rsidR="00593A99" w:rsidRPr="00593A99" w:rsidRDefault="00593A99" w:rsidP="00593A99">
      <w:pPr>
        <w:numPr>
          <w:ilvl w:val="0"/>
          <w:numId w:val="2"/>
        </w:numPr>
        <w:tabs>
          <w:tab w:val="center" w:pos="4320"/>
          <w:tab w:val="right" w:pos="8640"/>
        </w:tabs>
        <w:ind w:left="851" w:hanging="284"/>
        <w:contextualSpacing/>
        <w:rPr>
          <w:rFonts w:asciiTheme="minorHAnsi" w:hAnsiTheme="minorHAnsi" w:cstheme="minorHAnsi"/>
          <w:b/>
          <w:sz w:val="20"/>
          <w:szCs w:val="20"/>
          <w:u w:val="single"/>
        </w:rPr>
      </w:pPr>
      <w:r>
        <w:rPr>
          <w:rFonts w:asciiTheme="minorHAnsi" w:hAnsiTheme="minorHAnsi" w:cstheme="minorHAnsi"/>
          <w:b/>
          <w:sz w:val="20"/>
          <w:szCs w:val="20"/>
          <w:u w:val="single"/>
        </w:rPr>
        <w:t>Administrative</w:t>
      </w:r>
      <w:r w:rsidRPr="00593A99">
        <w:rPr>
          <w:rFonts w:asciiTheme="minorHAnsi" w:hAnsiTheme="minorHAnsi" w:cstheme="minorHAnsi"/>
          <w:b/>
          <w:sz w:val="20"/>
          <w:szCs w:val="20"/>
          <w:u w:val="single"/>
        </w:rPr>
        <w:t>:</w:t>
      </w:r>
    </w:p>
    <w:p w:rsidR="00593A99" w:rsidRPr="00593A99" w:rsidRDefault="00593A99" w:rsidP="00593A99">
      <w:pPr>
        <w:tabs>
          <w:tab w:val="center" w:pos="4320"/>
          <w:tab w:val="right" w:pos="8640"/>
        </w:tabs>
        <w:jc w:val="both"/>
        <w:rPr>
          <w:rFonts w:asciiTheme="minorHAnsi" w:hAnsiTheme="minorHAnsi" w:cstheme="minorHAnsi"/>
          <w:sz w:val="8"/>
          <w:szCs w:val="8"/>
        </w:rPr>
      </w:pPr>
    </w:p>
    <w:p w:rsidR="00593A99" w:rsidRPr="005B17AE" w:rsidRDefault="00593A99" w:rsidP="005B17AE">
      <w:pPr>
        <w:pStyle w:val="ListParagraph"/>
        <w:numPr>
          <w:ilvl w:val="0"/>
          <w:numId w:val="12"/>
        </w:numPr>
        <w:jc w:val="both"/>
        <w:rPr>
          <w:rFonts w:asciiTheme="minorHAnsi" w:hAnsiTheme="minorHAnsi" w:cstheme="minorHAnsi"/>
          <w:b/>
        </w:rPr>
      </w:pPr>
      <w:r w:rsidRPr="005B17AE">
        <w:rPr>
          <w:rFonts w:asciiTheme="minorHAnsi" w:hAnsiTheme="minorHAnsi" w:cstheme="minorHAnsi"/>
          <w:b/>
        </w:rPr>
        <w:t>Enterprise Zone Expansion – Recommendation (</w:t>
      </w:r>
      <w:proofErr w:type="spellStart"/>
      <w:r w:rsidRPr="005B17AE">
        <w:rPr>
          <w:rFonts w:asciiTheme="minorHAnsi" w:hAnsiTheme="minorHAnsi" w:cstheme="minorHAnsi"/>
          <w:b/>
        </w:rPr>
        <w:t>Savanne-Downstreet</w:t>
      </w:r>
      <w:proofErr w:type="spellEnd"/>
      <w:r w:rsidRPr="005B17AE">
        <w:rPr>
          <w:rFonts w:asciiTheme="minorHAnsi" w:hAnsiTheme="minorHAnsi" w:cstheme="minorHAnsi"/>
          <w:b/>
        </w:rPr>
        <w:t>)</w:t>
      </w:r>
    </w:p>
    <w:p w:rsidR="00593A99" w:rsidRPr="00593A99" w:rsidRDefault="00593A99" w:rsidP="00593A99">
      <w:pPr>
        <w:ind w:firstLine="360"/>
        <w:jc w:val="both"/>
        <w:rPr>
          <w:rFonts w:asciiTheme="minorHAnsi" w:hAnsiTheme="minorHAnsi" w:cstheme="minorHAnsi"/>
          <w:sz w:val="8"/>
          <w:szCs w:val="8"/>
        </w:rPr>
      </w:pPr>
    </w:p>
    <w:p w:rsidR="00593A99" w:rsidRDefault="00117101" w:rsidP="00117101">
      <w:pPr>
        <w:ind w:left="567"/>
        <w:jc w:val="both"/>
        <w:rPr>
          <w:rFonts w:asciiTheme="minorHAnsi" w:hAnsiTheme="minorHAnsi" w:cstheme="minorHAnsi"/>
          <w:i/>
          <w:sz w:val="20"/>
          <w:szCs w:val="20"/>
        </w:rPr>
      </w:pPr>
      <w:r>
        <w:rPr>
          <w:rFonts w:asciiTheme="minorHAnsi" w:hAnsiTheme="minorHAnsi" w:cstheme="minorHAnsi"/>
          <w:i/>
          <w:sz w:val="20"/>
          <w:szCs w:val="20"/>
        </w:rPr>
        <w:t>S</w:t>
      </w:r>
      <w:r w:rsidRPr="00117101">
        <w:rPr>
          <w:rFonts w:asciiTheme="minorHAnsi" w:hAnsiTheme="minorHAnsi" w:cstheme="minorHAnsi"/>
          <w:i/>
          <w:sz w:val="20"/>
          <w:szCs w:val="20"/>
        </w:rPr>
        <w:t xml:space="preserve">taff is recommending that the </w:t>
      </w:r>
      <w:proofErr w:type="spellStart"/>
      <w:r w:rsidRPr="00117101">
        <w:rPr>
          <w:rFonts w:asciiTheme="minorHAnsi" w:hAnsiTheme="minorHAnsi" w:cstheme="minorHAnsi"/>
          <w:i/>
          <w:sz w:val="20"/>
          <w:szCs w:val="20"/>
        </w:rPr>
        <w:t>Savanne-Downstreet</w:t>
      </w:r>
      <w:proofErr w:type="spellEnd"/>
      <w:r w:rsidRPr="00117101">
        <w:rPr>
          <w:rFonts w:asciiTheme="minorHAnsi" w:hAnsiTheme="minorHAnsi" w:cstheme="minorHAnsi"/>
          <w:i/>
          <w:sz w:val="20"/>
          <w:szCs w:val="20"/>
        </w:rPr>
        <w:t xml:space="preserve"> </w:t>
      </w:r>
      <w:r>
        <w:rPr>
          <w:rFonts w:asciiTheme="minorHAnsi" w:hAnsiTheme="minorHAnsi" w:cstheme="minorHAnsi"/>
          <w:i/>
          <w:sz w:val="20"/>
          <w:szCs w:val="20"/>
        </w:rPr>
        <w:t xml:space="preserve">Enterprise Zone </w:t>
      </w:r>
      <w:r w:rsidRPr="00117101">
        <w:rPr>
          <w:rFonts w:asciiTheme="minorHAnsi" w:hAnsiTheme="minorHAnsi" w:cstheme="minorHAnsi"/>
          <w:i/>
          <w:sz w:val="20"/>
          <w:szCs w:val="20"/>
        </w:rPr>
        <w:t>be expanded to include critical structures which will assist in the improvement of the entire zone.</w:t>
      </w:r>
      <w:r w:rsidR="005B17AE" w:rsidRPr="005B17AE">
        <w:t xml:space="preserve"> </w:t>
      </w:r>
      <w:r w:rsidR="005B17AE" w:rsidRPr="005B17AE">
        <w:rPr>
          <w:rFonts w:asciiTheme="minorHAnsi" w:hAnsiTheme="minorHAnsi" w:cstheme="minorHAnsi"/>
          <w:i/>
          <w:sz w:val="20"/>
          <w:szCs w:val="20"/>
        </w:rPr>
        <w:t xml:space="preserve">Within the proposed expanded boundaries of the </w:t>
      </w:r>
      <w:proofErr w:type="spellStart"/>
      <w:r w:rsidR="005B17AE" w:rsidRPr="005B17AE">
        <w:rPr>
          <w:rFonts w:asciiTheme="minorHAnsi" w:hAnsiTheme="minorHAnsi" w:cstheme="minorHAnsi"/>
          <w:i/>
          <w:sz w:val="20"/>
          <w:szCs w:val="20"/>
        </w:rPr>
        <w:t>Savanne-Downstreet</w:t>
      </w:r>
      <w:proofErr w:type="spellEnd"/>
      <w:r w:rsidR="005B17AE" w:rsidRPr="005B17AE">
        <w:rPr>
          <w:rFonts w:asciiTheme="minorHAnsi" w:hAnsiTheme="minorHAnsi" w:cstheme="minorHAnsi"/>
          <w:i/>
          <w:sz w:val="20"/>
          <w:szCs w:val="20"/>
        </w:rPr>
        <w:t xml:space="preserve"> </w:t>
      </w:r>
      <w:r w:rsidR="005B17AE">
        <w:rPr>
          <w:rFonts w:asciiTheme="minorHAnsi" w:hAnsiTheme="minorHAnsi" w:cstheme="minorHAnsi"/>
          <w:i/>
          <w:sz w:val="20"/>
          <w:szCs w:val="20"/>
        </w:rPr>
        <w:t xml:space="preserve">Enterprise </w:t>
      </w:r>
      <w:r w:rsidR="005B17AE" w:rsidRPr="005B17AE">
        <w:rPr>
          <w:rFonts w:asciiTheme="minorHAnsi" w:hAnsiTheme="minorHAnsi" w:cstheme="minorHAnsi"/>
          <w:i/>
          <w:sz w:val="20"/>
          <w:szCs w:val="20"/>
        </w:rPr>
        <w:t xml:space="preserve">Zone are a hotel and two guest houses that have struggled with financing for rehabilitation. These facilities were once very active spaces that brought the community together and encouraged community engagement and activism. Additionally the proposed expansion would include the potential future site of the agro-processing plant for the </w:t>
      </w:r>
      <w:proofErr w:type="spellStart"/>
      <w:r w:rsidR="005B17AE" w:rsidRPr="005B17AE">
        <w:rPr>
          <w:rFonts w:asciiTheme="minorHAnsi" w:hAnsiTheme="minorHAnsi" w:cstheme="minorHAnsi"/>
          <w:i/>
          <w:sz w:val="20"/>
          <w:szCs w:val="20"/>
        </w:rPr>
        <w:t>Savanne-Downstreet</w:t>
      </w:r>
      <w:proofErr w:type="spellEnd"/>
      <w:r w:rsidR="005B17AE" w:rsidRPr="005B17AE">
        <w:rPr>
          <w:rFonts w:asciiTheme="minorHAnsi" w:hAnsiTheme="minorHAnsi" w:cstheme="minorHAnsi"/>
          <w:i/>
          <w:sz w:val="20"/>
          <w:szCs w:val="20"/>
        </w:rPr>
        <w:t xml:space="preserve"> Enterprise Zone.</w:t>
      </w:r>
    </w:p>
    <w:p w:rsidR="005B17AE" w:rsidRPr="00593A99" w:rsidRDefault="005B17AE" w:rsidP="00117101">
      <w:pPr>
        <w:ind w:left="567"/>
        <w:jc w:val="both"/>
        <w:rPr>
          <w:rFonts w:asciiTheme="minorHAnsi" w:hAnsiTheme="minorHAnsi" w:cstheme="minorHAnsi"/>
          <w:sz w:val="16"/>
          <w:szCs w:val="16"/>
        </w:rPr>
      </w:pPr>
    </w:p>
    <w:p w:rsidR="00593A99" w:rsidRPr="00593A99" w:rsidRDefault="002D6348" w:rsidP="00593A99">
      <w:pPr>
        <w:ind w:firstLine="567"/>
        <w:jc w:val="both"/>
        <w:rPr>
          <w:rFonts w:asciiTheme="minorHAnsi" w:hAnsiTheme="minorHAnsi" w:cstheme="minorHAnsi"/>
        </w:rPr>
      </w:pPr>
      <w:r>
        <w:rPr>
          <w:rFonts w:asciiTheme="minorHAnsi" w:hAnsiTheme="minorHAnsi" w:cstheme="minorHAnsi"/>
        </w:rPr>
        <w:t>The Governing Board voted (4</w:t>
      </w:r>
      <w:r w:rsidR="00593A99" w:rsidRPr="00593A99">
        <w:rPr>
          <w:rFonts w:asciiTheme="minorHAnsi" w:hAnsiTheme="minorHAnsi" w:cstheme="minorHAnsi"/>
        </w:rPr>
        <w:t xml:space="preserve"> – 0) to:</w:t>
      </w:r>
    </w:p>
    <w:p w:rsidR="00593A99" w:rsidRPr="00593A99" w:rsidRDefault="00593A99" w:rsidP="00593A99">
      <w:pPr>
        <w:ind w:firstLine="360"/>
        <w:jc w:val="both"/>
        <w:rPr>
          <w:rFonts w:asciiTheme="minorHAnsi" w:hAnsiTheme="minorHAnsi" w:cstheme="minorHAnsi"/>
          <w:sz w:val="12"/>
          <w:szCs w:val="12"/>
        </w:rPr>
      </w:pPr>
    </w:p>
    <w:p w:rsidR="00593A99" w:rsidRPr="00725E6A" w:rsidRDefault="005B17AE" w:rsidP="00725E6A">
      <w:pPr>
        <w:pStyle w:val="ListParagraph"/>
        <w:numPr>
          <w:ilvl w:val="0"/>
          <w:numId w:val="3"/>
        </w:numPr>
        <w:tabs>
          <w:tab w:val="center" w:pos="4320"/>
          <w:tab w:val="right" w:pos="8640"/>
        </w:tabs>
        <w:jc w:val="both"/>
        <w:rPr>
          <w:rFonts w:asciiTheme="minorHAnsi" w:eastAsia="Calibri" w:hAnsiTheme="minorHAnsi" w:cstheme="minorHAnsi"/>
          <w:bCs/>
        </w:rPr>
      </w:pPr>
      <w:r w:rsidRPr="00725E6A">
        <w:rPr>
          <w:rFonts w:asciiTheme="minorHAnsi" w:eastAsia="Calibri" w:hAnsiTheme="minorHAnsi" w:cstheme="minorHAnsi"/>
          <w:bCs/>
        </w:rPr>
        <w:t xml:space="preserve">Forward a recommended to the Governor for his consideration and approval pursuant to Title 29 V.I. CODE ANNOTATED, chapter 19 that the </w:t>
      </w:r>
      <w:proofErr w:type="spellStart"/>
      <w:r w:rsidRPr="00725E6A">
        <w:rPr>
          <w:rFonts w:asciiTheme="minorHAnsi" w:eastAsia="Calibri" w:hAnsiTheme="minorHAnsi" w:cstheme="minorHAnsi"/>
          <w:bCs/>
        </w:rPr>
        <w:t>Savanne-Downstreet</w:t>
      </w:r>
      <w:proofErr w:type="spellEnd"/>
      <w:r w:rsidRPr="00725E6A">
        <w:rPr>
          <w:rFonts w:asciiTheme="minorHAnsi" w:eastAsia="Calibri" w:hAnsiTheme="minorHAnsi" w:cstheme="minorHAnsi"/>
          <w:bCs/>
        </w:rPr>
        <w:t xml:space="preserve"> Enterprise Zone as defined be expanded.</w:t>
      </w:r>
    </w:p>
    <w:p w:rsidR="00593A99" w:rsidRPr="00593A99" w:rsidRDefault="00593A99" w:rsidP="00725E6A">
      <w:pPr>
        <w:tabs>
          <w:tab w:val="center" w:pos="4320"/>
          <w:tab w:val="right" w:pos="8640"/>
        </w:tabs>
        <w:ind w:firstLine="720"/>
        <w:jc w:val="both"/>
        <w:rPr>
          <w:rFonts w:asciiTheme="minorHAnsi" w:eastAsia="Calibri" w:hAnsiTheme="minorHAnsi" w:cstheme="minorHAnsi"/>
          <w:bCs/>
        </w:rPr>
      </w:pPr>
    </w:p>
    <w:p w:rsidR="00593A99" w:rsidRPr="005B17AE" w:rsidRDefault="00593A99" w:rsidP="005B17AE">
      <w:pPr>
        <w:pStyle w:val="ListParagraph"/>
        <w:numPr>
          <w:ilvl w:val="0"/>
          <w:numId w:val="12"/>
        </w:numPr>
        <w:jc w:val="both"/>
        <w:rPr>
          <w:rFonts w:asciiTheme="minorHAnsi" w:hAnsiTheme="minorHAnsi" w:cstheme="minorHAnsi"/>
          <w:b/>
        </w:rPr>
      </w:pPr>
      <w:r w:rsidRPr="005B17AE">
        <w:rPr>
          <w:rFonts w:asciiTheme="minorHAnsi" w:hAnsiTheme="minorHAnsi" w:cstheme="minorHAnsi"/>
          <w:b/>
        </w:rPr>
        <w:t>Commercial Zone Creation – Recommendation (St. John - Historic District of Cruz Bay)</w:t>
      </w:r>
    </w:p>
    <w:p w:rsidR="00593A99" w:rsidRPr="00593A99" w:rsidRDefault="00593A99" w:rsidP="00593A99">
      <w:pPr>
        <w:ind w:firstLine="360"/>
        <w:jc w:val="both"/>
        <w:rPr>
          <w:rFonts w:asciiTheme="minorHAnsi" w:hAnsiTheme="minorHAnsi" w:cstheme="minorHAnsi"/>
          <w:sz w:val="8"/>
          <w:szCs w:val="8"/>
        </w:rPr>
      </w:pPr>
    </w:p>
    <w:p w:rsidR="004918EF" w:rsidRDefault="00117101" w:rsidP="004918EF">
      <w:pPr>
        <w:ind w:left="540"/>
        <w:jc w:val="both"/>
        <w:rPr>
          <w:rFonts w:ascii="Century Gothic" w:eastAsiaTheme="minorHAnsi" w:hAnsi="Century Gothic" w:cs="Century Gothic"/>
          <w:color w:val="000000"/>
        </w:rPr>
      </w:pPr>
      <w:r w:rsidRPr="00117101">
        <w:rPr>
          <w:rFonts w:asciiTheme="minorHAnsi" w:hAnsiTheme="minorHAnsi" w:cstheme="minorHAnsi"/>
          <w:bCs/>
          <w:i/>
          <w:sz w:val="20"/>
          <w:szCs w:val="20"/>
        </w:rPr>
        <w:t>Commercial Zone Program Law</w:t>
      </w:r>
      <w:r w:rsidRPr="00117101">
        <w:rPr>
          <w:rFonts w:asciiTheme="minorHAnsi" w:hAnsiTheme="minorHAnsi" w:cstheme="minorHAnsi"/>
          <w:i/>
          <w:sz w:val="20"/>
          <w:szCs w:val="20"/>
        </w:rPr>
        <w:t xml:space="preserve"> </w:t>
      </w:r>
      <w:r w:rsidR="00C31185" w:rsidRPr="004918EF">
        <w:rPr>
          <w:rFonts w:asciiTheme="minorHAnsi" w:hAnsiTheme="minorHAnsi" w:cstheme="minorHAnsi"/>
          <w:i/>
          <w:sz w:val="20"/>
          <w:szCs w:val="20"/>
        </w:rPr>
        <w:t>was created through requests from the community to provide incentives for rehabilitation of certain areas that would not be eligible for Enterprise Zone designation due to the lack of residential activity and thus poverty.</w:t>
      </w:r>
      <w:r w:rsidR="00C31185">
        <w:rPr>
          <w:rFonts w:asciiTheme="minorHAnsi" w:hAnsiTheme="minorHAnsi" w:cstheme="minorHAnsi"/>
          <w:i/>
          <w:sz w:val="20"/>
          <w:szCs w:val="20"/>
        </w:rPr>
        <w:t xml:space="preserve"> It </w:t>
      </w:r>
      <w:r w:rsidRPr="00117101">
        <w:rPr>
          <w:rFonts w:asciiTheme="minorHAnsi" w:hAnsiTheme="minorHAnsi" w:cstheme="minorHAnsi"/>
          <w:i/>
          <w:sz w:val="20"/>
          <w:szCs w:val="20"/>
        </w:rPr>
        <w:t>provides incentives to induce private investment in Commercial Zone areas by removing unnecessary governmental regulatory barriers to economic growth and providing tax incentive benefits. In order to qualify and remain eligible for the Commercial Zone Program an applicant, among other requirements, must establish or continue to maintain a business, invest at least $75,000 in the rehabilitation of the building, employ at least four (4) residents of the VI and one (1) paid apprentice in the business.</w:t>
      </w:r>
      <w:r w:rsidR="004918EF" w:rsidRPr="004918EF">
        <w:rPr>
          <w:rFonts w:ascii="Century Gothic" w:eastAsiaTheme="minorHAnsi" w:hAnsi="Century Gothic" w:cs="Century Gothic"/>
          <w:color w:val="000000"/>
        </w:rPr>
        <w:t xml:space="preserve"> </w:t>
      </w:r>
    </w:p>
    <w:p w:rsidR="00117101" w:rsidRPr="00593A99" w:rsidRDefault="00117101" w:rsidP="00117101">
      <w:pPr>
        <w:ind w:left="540"/>
        <w:jc w:val="both"/>
        <w:rPr>
          <w:rFonts w:asciiTheme="minorHAnsi" w:hAnsiTheme="minorHAnsi" w:cstheme="minorHAnsi"/>
          <w:sz w:val="16"/>
          <w:szCs w:val="16"/>
        </w:rPr>
      </w:pPr>
    </w:p>
    <w:p w:rsidR="00593A99" w:rsidRPr="00593A99" w:rsidRDefault="002D6348" w:rsidP="00593A99">
      <w:pPr>
        <w:ind w:firstLine="567"/>
        <w:jc w:val="both"/>
        <w:rPr>
          <w:rFonts w:asciiTheme="minorHAnsi" w:hAnsiTheme="minorHAnsi" w:cstheme="minorHAnsi"/>
        </w:rPr>
      </w:pPr>
      <w:r>
        <w:rPr>
          <w:rFonts w:asciiTheme="minorHAnsi" w:hAnsiTheme="minorHAnsi" w:cstheme="minorHAnsi"/>
        </w:rPr>
        <w:t>The Governing Board voted (4</w:t>
      </w:r>
      <w:bookmarkStart w:id="0" w:name="_GoBack"/>
      <w:bookmarkEnd w:id="0"/>
      <w:r w:rsidR="00593A99" w:rsidRPr="00593A99">
        <w:rPr>
          <w:rFonts w:asciiTheme="minorHAnsi" w:hAnsiTheme="minorHAnsi" w:cstheme="minorHAnsi"/>
        </w:rPr>
        <w:t xml:space="preserve"> – 0) to:</w:t>
      </w:r>
    </w:p>
    <w:p w:rsidR="00593A99" w:rsidRPr="00593A99" w:rsidRDefault="00593A99" w:rsidP="00593A99">
      <w:pPr>
        <w:ind w:firstLine="360"/>
        <w:jc w:val="both"/>
        <w:rPr>
          <w:rFonts w:asciiTheme="minorHAnsi" w:hAnsiTheme="minorHAnsi" w:cstheme="minorHAnsi"/>
          <w:sz w:val="12"/>
          <w:szCs w:val="12"/>
        </w:rPr>
      </w:pPr>
    </w:p>
    <w:p w:rsidR="00593A99" w:rsidRPr="00725E6A" w:rsidRDefault="00117101" w:rsidP="00725E6A">
      <w:pPr>
        <w:pStyle w:val="ListParagraph"/>
        <w:numPr>
          <w:ilvl w:val="0"/>
          <w:numId w:val="3"/>
        </w:numPr>
        <w:tabs>
          <w:tab w:val="center" w:pos="4320"/>
          <w:tab w:val="right" w:pos="8640"/>
        </w:tabs>
        <w:jc w:val="both"/>
        <w:rPr>
          <w:rFonts w:asciiTheme="minorHAnsi" w:eastAsia="Calibri" w:hAnsiTheme="minorHAnsi" w:cstheme="minorHAnsi"/>
          <w:bCs/>
        </w:rPr>
      </w:pPr>
      <w:r w:rsidRPr="00725E6A">
        <w:rPr>
          <w:rFonts w:asciiTheme="minorHAnsi" w:eastAsia="Calibri" w:hAnsiTheme="minorHAnsi" w:cstheme="minorHAnsi"/>
          <w:bCs/>
        </w:rPr>
        <w:lastRenderedPageBreak/>
        <w:t xml:space="preserve">Forward a recommendation to the Governor </w:t>
      </w:r>
      <w:r w:rsidR="005B17AE" w:rsidRPr="00725E6A">
        <w:rPr>
          <w:rFonts w:asciiTheme="minorHAnsi" w:eastAsia="Calibri" w:hAnsiTheme="minorHAnsi" w:cstheme="minorHAnsi"/>
          <w:bCs/>
        </w:rPr>
        <w:t xml:space="preserve">for his consideration and approval pursuant Title 29 V.I. CODE ANNOTATED, chapter 19 </w:t>
      </w:r>
      <w:r w:rsidRPr="00725E6A">
        <w:rPr>
          <w:rFonts w:asciiTheme="minorHAnsi" w:eastAsia="Calibri" w:hAnsiTheme="minorHAnsi" w:cstheme="minorHAnsi"/>
          <w:bCs/>
        </w:rPr>
        <w:t>that the historic town of Cruz Bay as defined be designated as a Commercial Zone.</w:t>
      </w:r>
    </w:p>
    <w:p w:rsidR="00117101" w:rsidRPr="00593A99" w:rsidRDefault="00117101">
      <w:pPr>
        <w:tabs>
          <w:tab w:val="center" w:pos="4320"/>
          <w:tab w:val="right" w:pos="8640"/>
        </w:tabs>
        <w:jc w:val="both"/>
        <w:rPr>
          <w:rFonts w:asciiTheme="minorHAnsi" w:eastAsia="Calibri" w:hAnsiTheme="minorHAnsi" w:cstheme="minorHAnsi"/>
          <w:bCs/>
        </w:rPr>
      </w:pPr>
    </w:p>
    <w:sectPr w:rsidR="00117101" w:rsidRPr="00593A9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02E" w:rsidRDefault="005D102E" w:rsidP="005B1A21">
      <w:r>
        <w:separator/>
      </w:r>
    </w:p>
  </w:endnote>
  <w:endnote w:type="continuationSeparator" w:id="0">
    <w:p w:rsidR="005D102E" w:rsidRDefault="005D102E"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6236"/>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2D6348">
          <w:rPr>
            <w:noProof/>
          </w:rPr>
          <w:t>2</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02E" w:rsidRDefault="005D102E" w:rsidP="005B1A21">
      <w:r>
        <w:separator/>
      </w:r>
    </w:p>
  </w:footnote>
  <w:footnote w:type="continuationSeparator" w:id="0">
    <w:p w:rsidR="005D102E" w:rsidRDefault="005D102E"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425"/>
    <w:multiLevelType w:val="hybridMultilevel"/>
    <w:tmpl w:val="A3B87C06"/>
    <w:lvl w:ilvl="0" w:tplc="E8465130">
      <w:start w:val="1"/>
      <w:numFmt w:val="decimal"/>
      <w:lvlText w:val="%1."/>
      <w:lvlJc w:val="left"/>
      <w:pPr>
        <w:ind w:left="1260" w:hanging="360"/>
      </w:pPr>
      <w:rPr>
        <w:rFonts w:asciiTheme="minorHAnsi" w:eastAsia="Calibri" w:hAnsiTheme="minorHAnsi" w:cstheme="minorHAnsi"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0FA56EEF"/>
    <w:multiLevelType w:val="hybridMultilevel"/>
    <w:tmpl w:val="3E942F18"/>
    <w:lvl w:ilvl="0" w:tplc="44FCFD76">
      <w:start w:val="1"/>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78ED"/>
    <w:multiLevelType w:val="hybridMultilevel"/>
    <w:tmpl w:val="8F44A032"/>
    <w:lvl w:ilvl="0" w:tplc="0409000F">
      <w:start w:val="1"/>
      <w:numFmt w:val="decimal"/>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52B3BC5"/>
    <w:multiLevelType w:val="hybridMultilevel"/>
    <w:tmpl w:val="6FA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2896"/>
    <w:multiLevelType w:val="hybridMultilevel"/>
    <w:tmpl w:val="1C8EDBB0"/>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13B6811"/>
    <w:multiLevelType w:val="hybridMultilevel"/>
    <w:tmpl w:val="F18C1DC8"/>
    <w:lvl w:ilvl="0" w:tplc="CE8C8E94">
      <w:start w:val="1"/>
      <w:numFmt w:val="decimal"/>
      <w:lvlText w:val="%1."/>
      <w:lvlJc w:val="left"/>
      <w:pPr>
        <w:ind w:left="1260" w:hanging="360"/>
      </w:pPr>
      <w:rPr>
        <w:rFonts w:asciiTheme="minorHAnsi" w:eastAsia="Calibri" w:hAnsiTheme="minorHAnsi" w:cstheme="minorHAns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92A375C"/>
    <w:multiLevelType w:val="hybridMultilevel"/>
    <w:tmpl w:val="AC98DB6C"/>
    <w:lvl w:ilvl="0" w:tplc="77D6D3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F4F0A26"/>
    <w:multiLevelType w:val="hybridMultilevel"/>
    <w:tmpl w:val="FC701FAA"/>
    <w:lvl w:ilvl="0" w:tplc="3442393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63F2"/>
    <w:multiLevelType w:val="hybridMultilevel"/>
    <w:tmpl w:val="EF68FE2E"/>
    <w:lvl w:ilvl="0" w:tplc="0A469D32">
      <w:start w:val="1"/>
      <w:numFmt w:val="decimal"/>
      <w:lvlText w:val="%1."/>
      <w:lvlJc w:val="left"/>
      <w:pPr>
        <w:ind w:left="720" w:hanging="360"/>
      </w:pPr>
      <w:rPr>
        <w:rFonts w:asciiTheme="minorHAnsi" w:eastAsia="Times New Roman"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F25EC"/>
    <w:multiLevelType w:val="hybridMultilevel"/>
    <w:tmpl w:val="3AB0C68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1C03312"/>
    <w:multiLevelType w:val="hybridMultilevel"/>
    <w:tmpl w:val="D8E8D91E"/>
    <w:lvl w:ilvl="0" w:tplc="E3F2644A">
      <w:start w:val="1"/>
      <w:numFmt w:val="decimal"/>
      <w:lvlText w:val="%1."/>
      <w:lvlJc w:val="left"/>
      <w:pPr>
        <w:ind w:left="1260" w:hanging="360"/>
      </w:pPr>
      <w:rPr>
        <w:rFonts w:asciiTheme="minorHAnsi" w:eastAsia="Calibri" w:hAnsiTheme="minorHAnsi" w:cstheme="minorHAnsi"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7FD01583"/>
    <w:multiLevelType w:val="hybridMultilevel"/>
    <w:tmpl w:val="E5F0CB14"/>
    <w:lvl w:ilvl="0" w:tplc="52AACF8E">
      <w:start w:val="1"/>
      <w:numFmt w:val="decimal"/>
      <w:lvlText w:val="%1."/>
      <w:lvlJc w:val="left"/>
      <w:pPr>
        <w:ind w:left="975" w:hanging="360"/>
      </w:pPr>
      <w:rPr>
        <w:rFonts w:asciiTheme="minorHAnsi" w:eastAsia="Calibr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5"/>
  </w:num>
  <w:num w:numId="5">
    <w:abstractNumId w:val="11"/>
  </w:num>
  <w:num w:numId="6">
    <w:abstractNumId w:val="7"/>
  </w:num>
  <w:num w:numId="7">
    <w:abstractNumId w:val="0"/>
  </w:num>
  <w:num w:numId="8">
    <w:abstractNumId w:val="10"/>
  </w:num>
  <w:num w:numId="9">
    <w:abstractNumId w:val="3"/>
  </w:num>
  <w:num w:numId="10">
    <w:abstractNumId w:val="1"/>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65FBB"/>
    <w:rsid w:val="00094898"/>
    <w:rsid w:val="000A1916"/>
    <w:rsid w:val="000C0CD5"/>
    <w:rsid w:val="000C1C78"/>
    <w:rsid w:val="000E2244"/>
    <w:rsid w:val="000F49E0"/>
    <w:rsid w:val="00117101"/>
    <w:rsid w:val="00130B3D"/>
    <w:rsid w:val="0016600D"/>
    <w:rsid w:val="001D7C0A"/>
    <w:rsid w:val="001E03DB"/>
    <w:rsid w:val="001F3A0B"/>
    <w:rsid w:val="001F7277"/>
    <w:rsid w:val="001F788A"/>
    <w:rsid w:val="002175D5"/>
    <w:rsid w:val="00223DB9"/>
    <w:rsid w:val="0024676F"/>
    <w:rsid w:val="002520AC"/>
    <w:rsid w:val="00255B7B"/>
    <w:rsid w:val="002650A4"/>
    <w:rsid w:val="002652F4"/>
    <w:rsid w:val="00294B52"/>
    <w:rsid w:val="002A0C56"/>
    <w:rsid w:val="002A3324"/>
    <w:rsid w:val="002B15CF"/>
    <w:rsid w:val="002C7C2F"/>
    <w:rsid w:val="002D6348"/>
    <w:rsid w:val="002E6FBA"/>
    <w:rsid w:val="003028F5"/>
    <w:rsid w:val="0030439E"/>
    <w:rsid w:val="003249F5"/>
    <w:rsid w:val="0034492E"/>
    <w:rsid w:val="00367D17"/>
    <w:rsid w:val="00381E49"/>
    <w:rsid w:val="0038296C"/>
    <w:rsid w:val="003A171D"/>
    <w:rsid w:val="003B27F9"/>
    <w:rsid w:val="003C0309"/>
    <w:rsid w:val="003C7FAA"/>
    <w:rsid w:val="00400334"/>
    <w:rsid w:val="00452A8D"/>
    <w:rsid w:val="00477AD6"/>
    <w:rsid w:val="0048623F"/>
    <w:rsid w:val="004918EF"/>
    <w:rsid w:val="004D28EA"/>
    <w:rsid w:val="004D770F"/>
    <w:rsid w:val="004E2BD6"/>
    <w:rsid w:val="00502A3C"/>
    <w:rsid w:val="005124A2"/>
    <w:rsid w:val="005556E7"/>
    <w:rsid w:val="00566F61"/>
    <w:rsid w:val="0057681B"/>
    <w:rsid w:val="00593A99"/>
    <w:rsid w:val="005A6392"/>
    <w:rsid w:val="005B17AE"/>
    <w:rsid w:val="005B1A21"/>
    <w:rsid w:val="005D05B2"/>
    <w:rsid w:val="005D102E"/>
    <w:rsid w:val="005E2D10"/>
    <w:rsid w:val="006323D9"/>
    <w:rsid w:val="00645EC5"/>
    <w:rsid w:val="006478B3"/>
    <w:rsid w:val="00657741"/>
    <w:rsid w:val="00663265"/>
    <w:rsid w:val="00670096"/>
    <w:rsid w:val="00681062"/>
    <w:rsid w:val="00696843"/>
    <w:rsid w:val="006B0CA0"/>
    <w:rsid w:val="006B6BC9"/>
    <w:rsid w:val="006B731F"/>
    <w:rsid w:val="006E6ACF"/>
    <w:rsid w:val="006E73D6"/>
    <w:rsid w:val="006E7AA4"/>
    <w:rsid w:val="00712BC5"/>
    <w:rsid w:val="00725E6A"/>
    <w:rsid w:val="007326D5"/>
    <w:rsid w:val="00756D8B"/>
    <w:rsid w:val="00771627"/>
    <w:rsid w:val="00777325"/>
    <w:rsid w:val="007B022B"/>
    <w:rsid w:val="007C0990"/>
    <w:rsid w:val="007C1D16"/>
    <w:rsid w:val="007C636E"/>
    <w:rsid w:val="007D4BD8"/>
    <w:rsid w:val="007E0319"/>
    <w:rsid w:val="007E2625"/>
    <w:rsid w:val="007E2690"/>
    <w:rsid w:val="00804B7E"/>
    <w:rsid w:val="0080511B"/>
    <w:rsid w:val="008112C4"/>
    <w:rsid w:val="0082167A"/>
    <w:rsid w:val="00834372"/>
    <w:rsid w:val="008820CD"/>
    <w:rsid w:val="00896B36"/>
    <w:rsid w:val="008A1E7F"/>
    <w:rsid w:val="008D3A1A"/>
    <w:rsid w:val="00916576"/>
    <w:rsid w:val="00925867"/>
    <w:rsid w:val="00925B76"/>
    <w:rsid w:val="009329FD"/>
    <w:rsid w:val="009502F8"/>
    <w:rsid w:val="00963CAF"/>
    <w:rsid w:val="00965690"/>
    <w:rsid w:val="009738F0"/>
    <w:rsid w:val="00991DA8"/>
    <w:rsid w:val="009A4B3A"/>
    <w:rsid w:val="009D18D5"/>
    <w:rsid w:val="009D76A9"/>
    <w:rsid w:val="009E05AD"/>
    <w:rsid w:val="009E0842"/>
    <w:rsid w:val="009F009A"/>
    <w:rsid w:val="009F09F7"/>
    <w:rsid w:val="009F7133"/>
    <w:rsid w:val="00A04A4C"/>
    <w:rsid w:val="00A14BDA"/>
    <w:rsid w:val="00A2350E"/>
    <w:rsid w:val="00A3216E"/>
    <w:rsid w:val="00A36E02"/>
    <w:rsid w:val="00A7219D"/>
    <w:rsid w:val="00A84CDA"/>
    <w:rsid w:val="00A871AF"/>
    <w:rsid w:val="00A976F1"/>
    <w:rsid w:val="00AA27EB"/>
    <w:rsid w:val="00AA75D0"/>
    <w:rsid w:val="00AC566C"/>
    <w:rsid w:val="00AD30DB"/>
    <w:rsid w:val="00AF442B"/>
    <w:rsid w:val="00B0113A"/>
    <w:rsid w:val="00B45E7D"/>
    <w:rsid w:val="00B54006"/>
    <w:rsid w:val="00B61488"/>
    <w:rsid w:val="00B67F26"/>
    <w:rsid w:val="00B87CFD"/>
    <w:rsid w:val="00B95B46"/>
    <w:rsid w:val="00B97861"/>
    <w:rsid w:val="00BB158B"/>
    <w:rsid w:val="00BB30FF"/>
    <w:rsid w:val="00BC74C1"/>
    <w:rsid w:val="00BD40FE"/>
    <w:rsid w:val="00BE4350"/>
    <w:rsid w:val="00BE65CF"/>
    <w:rsid w:val="00C00FCD"/>
    <w:rsid w:val="00C02368"/>
    <w:rsid w:val="00C07430"/>
    <w:rsid w:val="00C11666"/>
    <w:rsid w:val="00C11C01"/>
    <w:rsid w:val="00C13062"/>
    <w:rsid w:val="00C148AA"/>
    <w:rsid w:val="00C20609"/>
    <w:rsid w:val="00C31185"/>
    <w:rsid w:val="00C75363"/>
    <w:rsid w:val="00C90707"/>
    <w:rsid w:val="00CD1757"/>
    <w:rsid w:val="00CD6E68"/>
    <w:rsid w:val="00CF194B"/>
    <w:rsid w:val="00CF3C59"/>
    <w:rsid w:val="00D16B20"/>
    <w:rsid w:val="00D34AAA"/>
    <w:rsid w:val="00D402A5"/>
    <w:rsid w:val="00D442E5"/>
    <w:rsid w:val="00D53A48"/>
    <w:rsid w:val="00D57CF0"/>
    <w:rsid w:val="00D631C9"/>
    <w:rsid w:val="00D76BAF"/>
    <w:rsid w:val="00D771A0"/>
    <w:rsid w:val="00D83569"/>
    <w:rsid w:val="00DB6025"/>
    <w:rsid w:val="00DC6516"/>
    <w:rsid w:val="00DC72BC"/>
    <w:rsid w:val="00DD2C06"/>
    <w:rsid w:val="00DD5593"/>
    <w:rsid w:val="00DF7B8C"/>
    <w:rsid w:val="00E051E4"/>
    <w:rsid w:val="00E05B9C"/>
    <w:rsid w:val="00E43274"/>
    <w:rsid w:val="00E46ABD"/>
    <w:rsid w:val="00E819AE"/>
    <w:rsid w:val="00E84C83"/>
    <w:rsid w:val="00EF0B48"/>
    <w:rsid w:val="00F24020"/>
    <w:rsid w:val="00F365BD"/>
    <w:rsid w:val="00F543D5"/>
    <w:rsid w:val="00F66AC3"/>
    <w:rsid w:val="00F81287"/>
    <w:rsid w:val="00F827E5"/>
    <w:rsid w:val="00F9626C"/>
    <w:rsid w:val="00FA0FA9"/>
    <w:rsid w:val="00FB6872"/>
    <w:rsid w:val="00FE3388"/>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FCF4-8B86-41A8-B2A2-3EF19C15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20</cp:revision>
  <cp:lastPrinted>2019-08-16T20:29:00Z</cp:lastPrinted>
  <dcterms:created xsi:type="dcterms:W3CDTF">2021-06-24T01:25:00Z</dcterms:created>
  <dcterms:modified xsi:type="dcterms:W3CDTF">2021-06-24T13:50:00Z</dcterms:modified>
</cp:coreProperties>
</file>